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C5AC" w14:textId="5F2DBB67" w:rsidR="00693374" w:rsidRDefault="00693374" w:rsidP="0059498A">
      <w:pPr>
        <w:spacing w:before="100" w:beforeAutospacing="1" w:after="100" w:afterAutospacing="1"/>
        <w:jc w:val="center"/>
        <w:textAlignment w:val="top"/>
        <w:rPr>
          <w:rFonts w:asciiTheme="majorHAnsi" w:hAnsiTheme="majorHAnsi"/>
          <w:b/>
          <w:bCs/>
          <w:sz w:val="36"/>
          <w:szCs w:val="36"/>
        </w:rPr>
      </w:pPr>
      <w:r w:rsidRPr="002E4AE4">
        <w:rPr>
          <w:rFonts w:asciiTheme="majorHAnsi" w:hAnsiTheme="majorHAnsi"/>
          <w:b/>
          <w:bCs/>
          <w:sz w:val="36"/>
          <w:szCs w:val="36"/>
        </w:rPr>
        <w:t>201</w:t>
      </w:r>
      <w:r w:rsidR="00F651C4">
        <w:rPr>
          <w:rFonts w:asciiTheme="majorHAnsi" w:hAnsiTheme="majorHAnsi"/>
          <w:b/>
          <w:bCs/>
          <w:sz w:val="36"/>
          <w:szCs w:val="36"/>
        </w:rPr>
        <w:t>7</w:t>
      </w:r>
      <w:r w:rsidRPr="002E4AE4">
        <w:rPr>
          <w:rFonts w:asciiTheme="majorHAnsi" w:hAnsiTheme="majorHAnsi"/>
          <w:b/>
          <w:bCs/>
          <w:sz w:val="36"/>
          <w:szCs w:val="36"/>
        </w:rPr>
        <w:t xml:space="preserve"> Medicare </w:t>
      </w:r>
      <w:r w:rsidR="002E4AE4" w:rsidRPr="002E4AE4">
        <w:rPr>
          <w:rFonts w:asciiTheme="majorHAnsi" w:hAnsiTheme="majorHAnsi"/>
          <w:b/>
          <w:bCs/>
          <w:sz w:val="36"/>
          <w:szCs w:val="36"/>
        </w:rPr>
        <w:t xml:space="preserve">Part B </w:t>
      </w:r>
      <w:r w:rsidR="00FF0D0C">
        <w:rPr>
          <w:rFonts w:asciiTheme="majorHAnsi" w:hAnsiTheme="majorHAnsi"/>
          <w:b/>
          <w:bCs/>
          <w:sz w:val="36"/>
          <w:szCs w:val="36"/>
        </w:rPr>
        <w:t>– HOLD HARMLESS Provision</w:t>
      </w:r>
      <w:bookmarkStart w:id="0" w:name="_GoBack"/>
      <w:bookmarkEnd w:id="0"/>
    </w:p>
    <w:p w14:paraId="49E4D82C" w14:textId="7E71D95D" w:rsidR="0059498A" w:rsidRPr="0059498A" w:rsidRDefault="0059498A" w:rsidP="0059498A">
      <w:pPr>
        <w:spacing w:before="100" w:beforeAutospacing="1" w:after="100" w:afterAutospacing="1"/>
        <w:jc w:val="center"/>
        <w:textAlignment w:val="top"/>
        <w:rPr>
          <w:rFonts w:asciiTheme="majorHAnsi" w:hAnsiTheme="majorHAnsi"/>
          <w:color w:val="FF0000"/>
          <w:sz w:val="36"/>
          <w:szCs w:val="36"/>
        </w:rPr>
      </w:pPr>
      <w:r w:rsidRPr="0059498A">
        <w:rPr>
          <w:rFonts w:asciiTheme="majorHAnsi" w:hAnsiTheme="majorHAnsi"/>
          <w:b/>
          <w:bCs/>
          <w:color w:val="FF0000"/>
          <w:sz w:val="36"/>
          <w:szCs w:val="36"/>
        </w:rPr>
        <w:t>(FOR INTERNAL USE ONLY)</w:t>
      </w:r>
    </w:p>
    <w:p w14:paraId="0AC6C5CC" w14:textId="1680FEE8" w:rsidR="003B1606" w:rsidRDefault="00400FA4" w:rsidP="00EF3D10">
      <w:pPr>
        <w:jc w:val="both"/>
        <w:rPr>
          <w:rFonts w:asciiTheme="majorHAnsi" w:eastAsia="Times New Roman" w:hAnsiTheme="majorHAnsi" w:cs="Arial"/>
          <w:color w:val="222222"/>
          <w:shd w:val="clear" w:color="auto" w:fill="FFFFFF"/>
        </w:rPr>
      </w:pPr>
      <w:r w:rsidRPr="00400FA4">
        <w:rPr>
          <w:rFonts w:asciiTheme="majorHAnsi" w:hAnsiTheme="majorHAnsi"/>
        </w:rPr>
        <w:t xml:space="preserve">By definition, </w:t>
      </w:r>
      <w:r w:rsidR="00EF3D10">
        <w:rPr>
          <w:rFonts w:asciiTheme="majorHAnsi" w:eastAsia="Times New Roman" w:hAnsiTheme="majorHAnsi" w:cs="Arial"/>
          <w:color w:val="222222"/>
          <w:shd w:val="clear" w:color="auto" w:fill="FFFFFF"/>
        </w:rPr>
        <w:t xml:space="preserve">a </w:t>
      </w:r>
      <w:r w:rsidR="00EF3D10" w:rsidRPr="00EF3D10">
        <w:rPr>
          <w:rFonts w:asciiTheme="majorHAnsi" w:eastAsia="Times New Roman" w:hAnsiTheme="majorHAnsi" w:cs="Arial"/>
          <w:b/>
          <w:color w:val="222222"/>
          <w:shd w:val="clear" w:color="auto" w:fill="FFFFFF"/>
        </w:rPr>
        <w:t>Medicare</w:t>
      </w:r>
      <w:r w:rsidRPr="00400FA4">
        <w:rPr>
          <w:rFonts w:asciiTheme="majorHAnsi" w:eastAsia="Times New Roman" w:hAnsiTheme="majorHAnsi" w:cs="Arial"/>
          <w:b/>
          <w:bCs/>
          <w:color w:val="222222"/>
          <w:shd w:val="clear" w:color="auto" w:fill="FFFFFF"/>
        </w:rPr>
        <w:t xml:space="preserve"> hold harmless provision</w:t>
      </w:r>
      <w:r w:rsidRPr="00400FA4">
        <w:rPr>
          <w:rStyle w:val="apple-converted-space"/>
          <w:rFonts w:asciiTheme="majorHAnsi" w:eastAsia="Times New Roman" w:hAnsiTheme="majorHAnsi" w:cs="Arial"/>
          <w:color w:val="222222"/>
          <w:shd w:val="clear" w:color="auto" w:fill="FFFFFF"/>
        </w:rPr>
        <w:t> </w:t>
      </w:r>
      <w:r w:rsidRPr="00400FA4">
        <w:rPr>
          <w:rFonts w:asciiTheme="majorHAnsi" w:eastAsia="Times New Roman" w:hAnsiTheme="majorHAnsi" w:cs="Arial"/>
          <w:color w:val="222222"/>
          <w:shd w:val="clear" w:color="auto" w:fill="FFFFFF"/>
        </w:rPr>
        <w:t>is a legal statement prohibiting an increase to</w:t>
      </w:r>
      <w:r w:rsidRPr="00400FA4">
        <w:rPr>
          <w:rFonts w:asciiTheme="majorHAnsi" w:eastAsia="Times New Roman" w:hAnsiTheme="majorHAnsi" w:cs="Arial"/>
          <w:color w:val="222222"/>
          <w:shd w:val="clear" w:color="auto" w:fill="FFFFFF"/>
        </w:rPr>
        <w:t xml:space="preserve"> </w:t>
      </w:r>
      <w:r w:rsidRPr="00400FA4">
        <w:rPr>
          <w:rFonts w:asciiTheme="majorHAnsi" w:eastAsia="Times New Roman" w:hAnsiTheme="majorHAnsi" w:cs="Arial"/>
          <w:b/>
          <w:bCs/>
          <w:color w:val="222222"/>
          <w:shd w:val="clear" w:color="auto" w:fill="FFFFFF"/>
        </w:rPr>
        <w:t>Medicare</w:t>
      </w:r>
      <w:r w:rsidRPr="00400FA4">
        <w:rPr>
          <w:rStyle w:val="apple-converted-space"/>
          <w:rFonts w:asciiTheme="majorHAnsi" w:eastAsia="Times New Roman" w:hAnsiTheme="majorHAnsi" w:cs="Arial"/>
          <w:color w:val="222222"/>
          <w:shd w:val="clear" w:color="auto" w:fill="FFFFFF"/>
        </w:rPr>
        <w:t> </w:t>
      </w:r>
      <w:r w:rsidRPr="00400FA4">
        <w:rPr>
          <w:rFonts w:asciiTheme="majorHAnsi" w:eastAsia="Times New Roman" w:hAnsiTheme="majorHAnsi" w:cs="Arial"/>
          <w:color w:val="222222"/>
          <w:shd w:val="clear" w:color="auto" w:fill="FFFFFF"/>
        </w:rPr>
        <w:t>B premiums for the vast majority of American citizens. The</w:t>
      </w:r>
      <w:r w:rsidRPr="00400FA4">
        <w:rPr>
          <w:rStyle w:val="apple-converted-space"/>
          <w:rFonts w:asciiTheme="majorHAnsi" w:eastAsia="Times New Roman" w:hAnsiTheme="majorHAnsi" w:cs="Arial"/>
          <w:color w:val="222222"/>
          <w:shd w:val="clear" w:color="auto" w:fill="FFFFFF"/>
        </w:rPr>
        <w:t> </w:t>
      </w:r>
      <w:r w:rsidRPr="00400FA4">
        <w:rPr>
          <w:rFonts w:asciiTheme="majorHAnsi" w:eastAsia="Times New Roman" w:hAnsiTheme="majorHAnsi" w:cs="Arial"/>
          <w:b/>
          <w:bCs/>
          <w:color w:val="222222"/>
          <w:shd w:val="clear" w:color="auto" w:fill="FFFFFF"/>
        </w:rPr>
        <w:t>Medicare hold harmless provision</w:t>
      </w:r>
      <w:r w:rsidRPr="00400FA4">
        <w:rPr>
          <w:rStyle w:val="apple-converted-space"/>
          <w:rFonts w:asciiTheme="majorHAnsi" w:eastAsia="Times New Roman" w:hAnsiTheme="majorHAnsi" w:cs="Arial"/>
          <w:color w:val="222222"/>
          <w:shd w:val="clear" w:color="auto" w:fill="FFFFFF"/>
        </w:rPr>
        <w:t> </w:t>
      </w:r>
      <w:r w:rsidRPr="00400FA4">
        <w:rPr>
          <w:rFonts w:asciiTheme="majorHAnsi" w:eastAsia="Times New Roman" w:hAnsiTheme="majorHAnsi" w:cs="Arial"/>
          <w:color w:val="222222"/>
          <w:shd w:val="clear" w:color="auto" w:fill="FFFFFF"/>
        </w:rPr>
        <w:t>ensures that</w:t>
      </w:r>
      <w:r w:rsidRPr="00400FA4">
        <w:rPr>
          <w:rStyle w:val="apple-converted-space"/>
          <w:rFonts w:asciiTheme="majorHAnsi" w:eastAsia="Times New Roman" w:hAnsiTheme="majorHAnsi" w:cs="Arial"/>
          <w:color w:val="222222"/>
          <w:shd w:val="clear" w:color="auto" w:fill="FFFFFF"/>
        </w:rPr>
        <w:t> </w:t>
      </w:r>
      <w:r w:rsidRPr="00400FA4">
        <w:rPr>
          <w:rFonts w:asciiTheme="majorHAnsi" w:eastAsia="Times New Roman" w:hAnsiTheme="majorHAnsi" w:cs="Arial"/>
          <w:b/>
          <w:bCs/>
          <w:color w:val="222222"/>
          <w:shd w:val="clear" w:color="auto" w:fill="FFFFFF"/>
        </w:rPr>
        <w:t>Medicare</w:t>
      </w:r>
      <w:r w:rsidRPr="00400FA4">
        <w:rPr>
          <w:rStyle w:val="apple-converted-space"/>
          <w:rFonts w:asciiTheme="majorHAnsi" w:eastAsia="Times New Roman" w:hAnsiTheme="majorHAnsi" w:cs="Arial"/>
          <w:color w:val="222222"/>
          <w:shd w:val="clear" w:color="auto" w:fill="FFFFFF"/>
        </w:rPr>
        <w:t> </w:t>
      </w:r>
      <w:r>
        <w:rPr>
          <w:rFonts w:asciiTheme="majorHAnsi" w:eastAsia="Times New Roman" w:hAnsiTheme="majorHAnsi" w:cs="Arial"/>
          <w:color w:val="222222"/>
          <w:shd w:val="clear" w:color="auto" w:fill="FFFFFF"/>
        </w:rPr>
        <w:t>B premiums can</w:t>
      </w:r>
      <w:r w:rsidRPr="00400FA4">
        <w:rPr>
          <w:rFonts w:asciiTheme="majorHAnsi" w:eastAsia="Times New Roman" w:hAnsiTheme="majorHAnsi" w:cs="Arial"/>
          <w:color w:val="222222"/>
          <w:shd w:val="clear" w:color="auto" w:fill="FFFFFF"/>
        </w:rPr>
        <w:t>not rise more than the previous year's cost of living increase in Social Security benefits</w:t>
      </w:r>
      <w:r w:rsidRPr="00400FA4">
        <w:rPr>
          <w:rFonts w:asciiTheme="majorHAnsi" w:eastAsia="Times New Roman" w:hAnsiTheme="majorHAnsi" w:cs="Arial"/>
          <w:color w:val="222222"/>
          <w:shd w:val="clear" w:color="auto" w:fill="FFFFFF"/>
        </w:rPr>
        <w:t>.</w:t>
      </w:r>
    </w:p>
    <w:p w14:paraId="6DBFB596" w14:textId="77777777" w:rsidR="00EF3D10" w:rsidRPr="00EF3D10" w:rsidRDefault="00EF3D10" w:rsidP="00EF3D10">
      <w:pPr>
        <w:jc w:val="both"/>
        <w:rPr>
          <w:rFonts w:asciiTheme="majorHAnsi" w:eastAsia="Times New Roman" w:hAnsiTheme="majorHAnsi" w:cs="Arial"/>
          <w:color w:val="222222"/>
          <w:shd w:val="clear" w:color="auto" w:fill="FFFFFF"/>
        </w:rPr>
      </w:pPr>
    </w:p>
    <w:p w14:paraId="187F5A40" w14:textId="77777777" w:rsidR="003B1606" w:rsidRDefault="003B1606" w:rsidP="003B1606">
      <w:pPr>
        <w:rPr>
          <w:rFonts w:eastAsia="Times New Roman"/>
        </w:rPr>
      </w:pPr>
      <w:r>
        <w:rPr>
          <w:rFonts w:ascii="Arial" w:eastAsia="Times New Roman" w:hAnsi="Arial" w:cs="Arial"/>
          <w:color w:val="333333"/>
          <w:sz w:val="21"/>
          <w:szCs w:val="21"/>
          <w:shd w:val="clear" w:color="auto" w:fill="FAFAFA"/>
        </w:rPr>
        <w:t>The</w:t>
      </w:r>
      <w:r>
        <w:rPr>
          <w:rStyle w:val="apple-converted-space"/>
          <w:rFonts w:ascii="Arial" w:eastAsia="Times New Roman" w:hAnsi="Arial" w:cs="Arial"/>
          <w:color w:val="333333"/>
          <w:sz w:val="21"/>
          <w:szCs w:val="21"/>
          <w:shd w:val="clear" w:color="auto" w:fill="FAFAFA"/>
        </w:rPr>
        <w:t> </w:t>
      </w:r>
      <w:hyperlink r:id="rId7" w:history="1">
        <w:r>
          <w:rPr>
            <w:rStyle w:val="Hyperlink"/>
            <w:rFonts w:ascii="Arial" w:eastAsia="Times New Roman" w:hAnsi="Arial" w:cs="Arial"/>
            <w:color w:val="1990E5"/>
            <w:sz w:val="21"/>
            <w:szCs w:val="21"/>
            <w:shd w:val="clear" w:color="auto" w:fill="FAFAFA"/>
          </w:rPr>
          <w:t>COLA</w:t>
        </w:r>
      </w:hyperlink>
      <w:r>
        <w:rPr>
          <w:rStyle w:val="apple-converted-space"/>
          <w:rFonts w:ascii="Arial" w:eastAsia="Times New Roman" w:hAnsi="Arial" w:cs="Arial"/>
          <w:color w:val="333333"/>
          <w:sz w:val="21"/>
          <w:szCs w:val="21"/>
          <w:shd w:val="clear" w:color="auto" w:fill="FAFAFA"/>
        </w:rPr>
        <w:t> </w:t>
      </w:r>
      <w:r>
        <w:rPr>
          <w:rFonts w:ascii="Arial" w:eastAsia="Times New Roman" w:hAnsi="Arial" w:cs="Arial"/>
          <w:color w:val="333333"/>
          <w:sz w:val="21"/>
          <w:szCs w:val="21"/>
          <w:shd w:val="clear" w:color="auto" w:fill="FAFAFA"/>
        </w:rPr>
        <w:t>announcement made in October affecting 2017 checks was 0.3%, bringing the average Social Security check for retired workers next year to $1,360, up from $1,355 this year. In 2016, because prices were flat, there was no COLA.</w:t>
      </w:r>
    </w:p>
    <w:p w14:paraId="60A3CEA7" w14:textId="68B60172" w:rsidR="003B1606" w:rsidRDefault="003B1606" w:rsidP="00400FA4">
      <w:pPr>
        <w:jc w:val="both"/>
        <w:rPr>
          <w:rFonts w:ascii="Arial" w:hAnsi="Arial" w:cs="Arial"/>
          <w:color w:val="333333"/>
          <w:sz w:val="21"/>
          <w:szCs w:val="21"/>
        </w:rPr>
      </w:pPr>
      <w:r>
        <w:rPr>
          <w:rFonts w:ascii="Arial" w:hAnsi="Arial" w:cs="Arial"/>
          <w:color w:val="333333"/>
          <w:sz w:val="21"/>
          <w:szCs w:val="21"/>
        </w:rPr>
        <w:t xml:space="preserve"> </w:t>
      </w:r>
    </w:p>
    <w:p w14:paraId="378F74CB" w14:textId="77777777" w:rsidR="003B1606" w:rsidRPr="003B1606" w:rsidRDefault="003B1606" w:rsidP="003B1606">
      <w:pPr>
        <w:shd w:val="clear" w:color="auto" w:fill="FAFAFA"/>
        <w:spacing w:after="225" w:line="330" w:lineRule="atLeast"/>
        <w:ind w:left="900"/>
        <w:rPr>
          <w:rFonts w:ascii="Arial" w:hAnsi="Arial" w:cs="Arial"/>
          <w:color w:val="333333"/>
          <w:sz w:val="21"/>
          <w:szCs w:val="21"/>
        </w:rPr>
      </w:pPr>
      <w:r w:rsidRPr="003B1606">
        <w:rPr>
          <w:rFonts w:ascii="Arial" w:hAnsi="Arial" w:cs="Arial"/>
          <w:b/>
          <w:bCs/>
          <w:color w:val="333333"/>
          <w:sz w:val="21"/>
          <w:szCs w:val="21"/>
        </w:rPr>
        <w:t>How does the COLA affect Medicare Part B Premiums?</w:t>
      </w:r>
    </w:p>
    <w:p w14:paraId="6EA63B3E" w14:textId="577B0546" w:rsidR="00EF3D10" w:rsidRDefault="00EF3D10" w:rsidP="00EF3D10">
      <w:pPr>
        <w:shd w:val="clear" w:color="auto" w:fill="FAFAFA"/>
        <w:spacing w:after="225" w:line="330" w:lineRule="atLeast"/>
        <w:ind w:left="900"/>
        <w:rPr>
          <w:rFonts w:ascii="Arial" w:hAnsi="Arial" w:cs="Arial"/>
          <w:color w:val="333333"/>
          <w:sz w:val="21"/>
          <w:szCs w:val="21"/>
        </w:rPr>
      </w:pPr>
      <w:r>
        <w:rPr>
          <w:rFonts w:ascii="Arial" w:hAnsi="Arial" w:cs="Arial"/>
          <w:color w:val="333333"/>
          <w:sz w:val="21"/>
          <w:szCs w:val="21"/>
        </w:rPr>
        <w:t xml:space="preserve">Those </w:t>
      </w:r>
      <w:r w:rsidR="003B1606" w:rsidRPr="003B1606">
        <w:rPr>
          <w:rFonts w:ascii="Arial" w:hAnsi="Arial" w:cs="Arial"/>
          <w:color w:val="333333"/>
          <w:sz w:val="21"/>
          <w:szCs w:val="21"/>
        </w:rPr>
        <w:t>cost increases can be passed on to Social Security recipients only in years when they get enough of a COLA that their checks won't fall.</w:t>
      </w:r>
    </w:p>
    <w:p w14:paraId="1EC0D8B6" w14:textId="3F655070" w:rsidR="00EF3D10" w:rsidRDefault="00EF3D10" w:rsidP="00EF3D10">
      <w:pPr>
        <w:pStyle w:val="NormalWeb"/>
        <w:shd w:val="clear" w:color="auto" w:fill="FAFAFA"/>
        <w:spacing w:before="0" w:beforeAutospacing="0" w:after="225" w:afterAutospacing="0" w:line="330" w:lineRule="atLeast"/>
        <w:ind w:left="900"/>
        <w:rPr>
          <w:rFonts w:ascii="Arial" w:hAnsi="Arial" w:cs="Arial"/>
          <w:color w:val="333333"/>
          <w:sz w:val="21"/>
          <w:szCs w:val="21"/>
        </w:rPr>
      </w:pPr>
      <w:r>
        <w:rPr>
          <w:rStyle w:val="Strong"/>
          <w:rFonts w:ascii="Arial" w:hAnsi="Arial" w:cs="Arial"/>
          <w:color w:val="333333"/>
          <w:sz w:val="21"/>
          <w:szCs w:val="21"/>
        </w:rPr>
        <w:t xml:space="preserve">How could the “hold harmless” rule protect </w:t>
      </w:r>
      <w:r w:rsidR="006E439C">
        <w:rPr>
          <w:rStyle w:val="Strong"/>
          <w:rFonts w:ascii="Arial" w:hAnsi="Arial" w:cs="Arial"/>
          <w:color w:val="333333"/>
          <w:sz w:val="21"/>
          <w:szCs w:val="21"/>
        </w:rPr>
        <w:t>retirees</w:t>
      </w:r>
      <w:r>
        <w:rPr>
          <w:rStyle w:val="Strong"/>
          <w:rFonts w:ascii="Arial" w:hAnsi="Arial" w:cs="Arial"/>
          <w:color w:val="333333"/>
          <w:sz w:val="21"/>
          <w:szCs w:val="21"/>
        </w:rPr>
        <w:t xml:space="preserve"> from higher premiums?</w:t>
      </w:r>
    </w:p>
    <w:p w14:paraId="2047E35E" w14:textId="64F12C75" w:rsidR="00EF3D10" w:rsidRDefault="00EF3D10" w:rsidP="00EF3D10">
      <w:pPr>
        <w:pStyle w:val="NormalWeb"/>
        <w:shd w:val="clear" w:color="auto" w:fill="FAFAFA"/>
        <w:spacing w:before="0" w:beforeAutospacing="0" w:after="225" w:afterAutospacing="0" w:line="330" w:lineRule="atLeast"/>
        <w:ind w:left="900"/>
        <w:rPr>
          <w:rFonts w:ascii="Arial" w:eastAsia="Times New Roman" w:hAnsi="Arial" w:cs="Arial"/>
          <w:color w:val="222222"/>
          <w:sz w:val="30"/>
          <w:szCs w:val="30"/>
        </w:rPr>
      </w:pPr>
      <w:r>
        <w:rPr>
          <w:rFonts w:ascii="Arial" w:hAnsi="Arial" w:cs="Arial"/>
          <w:color w:val="333333"/>
          <w:sz w:val="21"/>
          <w:szCs w:val="21"/>
        </w:rPr>
        <w:t>The hold harmless rule applies to most, but not all, Social Security recipients. In order for you to be among those protected, or held harmless, you must have been enrolled in Part B before 2017 with premiums deducted from your Social Security check. If you’re delaying Social Security benefits but are benefiting through Medicare Part B, the protection would not apply and you would be subject to the higher premiums.</w:t>
      </w:r>
      <w:r>
        <w:rPr>
          <w:rFonts w:ascii="Arial" w:eastAsia="Times New Roman" w:hAnsi="Arial" w:cs="Arial"/>
          <w:color w:val="222222"/>
          <w:sz w:val="30"/>
          <w:szCs w:val="30"/>
        </w:rPr>
        <w:t xml:space="preserve"> </w:t>
      </w:r>
    </w:p>
    <w:p w14:paraId="00EA5C6D" w14:textId="77777777" w:rsidR="00EF3D10" w:rsidRDefault="00EF3D10" w:rsidP="00EF3D10">
      <w:pPr>
        <w:pStyle w:val="NormalWeb"/>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Hold harmless also does not apply to those 5% of beneficiaries who fall into high income brackets. They will pay higher premiums based on a scale, depending on their modified adjusted gross income (MAGI) reported on their tax returns two years ago. For individuals who reported over $85,000, the premium in 2017 will rise to $187.50, up from $170.50 this year (for married couples, income must exceed $170,000). Those with even higher incomes will pay more, topping out at $428.60 for those with incomes over $214,000 (over $428,000 for couples).</w:t>
      </w:r>
    </w:p>
    <w:p w14:paraId="7A3BAE2F" w14:textId="258640B3" w:rsidR="00EF3D10" w:rsidRPr="003B1606" w:rsidRDefault="00EF3D10" w:rsidP="006E439C">
      <w:pPr>
        <w:pStyle w:val="NormalWeb"/>
        <w:pBdr>
          <w:top w:val="single" w:sz="4" w:space="1" w:color="auto"/>
          <w:left w:val="single" w:sz="4" w:space="4" w:color="auto"/>
          <w:bottom w:val="single" w:sz="4" w:space="1" w:color="auto"/>
          <w:right w:val="single" w:sz="4" w:space="4" w:color="auto"/>
        </w:pBdr>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Essentially, the hold harmless rule does not protect those who are new to Social Security nor high-income people.</w:t>
      </w:r>
    </w:p>
    <w:p w14:paraId="3B662FCE" w14:textId="2CCB9BC0" w:rsidR="00693374" w:rsidRPr="00EF3D10" w:rsidRDefault="00693374" w:rsidP="00EF3D10">
      <w:pPr>
        <w:rPr>
          <w:rFonts w:ascii="Arial" w:eastAsia="Times New Roman" w:hAnsi="Arial" w:cs="Arial"/>
          <w:color w:val="222222"/>
          <w:sz w:val="30"/>
          <w:szCs w:val="30"/>
        </w:rPr>
      </w:pPr>
      <w:r w:rsidRPr="00693374">
        <w:rPr>
          <w:rFonts w:asciiTheme="majorHAnsi" w:hAnsiTheme="majorHAnsi"/>
        </w:rPr>
        <w:t>As the Social Security Admin</w:t>
      </w:r>
      <w:r w:rsidR="00EF3D10">
        <w:rPr>
          <w:rFonts w:asciiTheme="majorHAnsi" w:hAnsiTheme="majorHAnsi"/>
        </w:rPr>
        <w:t xml:space="preserve">istration previously announced, there is only 0.3% </w:t>
      </w:r>
      <w:r w:rsidRPr="00693374">
        <w:rPr>
          <w:rFonts w:asciiTheme="majorHAnsi" w:hAnsiTheme="majorHAnsi"/>
        </w:rPr>
        <w:t>Social Security cost of living increase for 201</w:t>
      </w:r>
      <w:r w:rsidR="00F651C4">
        <w:rPr>
          <w:rFonts w:asciiTheme="majorHAnsi" w:hAnsiTheme="majorHAnsi"/>
        </w:rPr>
        <w:t>7</w:t>
      </w:r>
      <w:r w:rsidRPr="00693374">
        <w:rPr>
          <w:rFonts w:asciiTheme="majorHAnsi" w:hAnsiTheme="majorHAnsi"/>
        </w:rPr>
        <w:t>. As a result, by law, most people with Medicare Part B will be “held harmless” from any increase in premiums in 201</w:t>
      </w:r>
      <w:r w:rsidR="00F651C4">
        <w:rPr>
          <w:rFonts w:asciiTheme="majorHAnsi" w:hAnsiTheme="majorHAnsi"/>
        </w:rPr>
        <w:t>7</w:t>
      </w:r>
      <w:r w:rsidRPr="00693374">
        <w:rPr>
          <w:rFonts w:asciiTheme="majorHAnsi" w:hAnsiTheme="majorHAnsi"/>
        </w:rPr>
        <w:t xml:space="preserve"> and </w:t>
      </w:r>
      <w:r w:rsidR="00EF3D10">
        <w:rPr>
          <w:rFonts w:asciiTheme="majorHAnsi" w:hAnsiTheme="majorHAnsi"/>
        </w:rPr>
        <w:t xml:space="preserve">the premium varies from </w:t>
      </w:r>
      <w:r w:rsidRPr="00A6700A">
        <w:rPr>
          <w:rFonts w:asciiTheme="majorHAnsi" w:hAnsiTheme="majorHAnsi"/>
          <w:b/>
          <w:color w:val="00B050"/>
        </w:rPr>
        <w:t>$104.90</w:t>
      </w:r>
      <w:r w:rsidR="00EF3D10">
        <w:rPr>
          <w:rFonts w:asciiTheme="majorHAnsi" w:hAnsiTheme="majorHAnsi"/>
          <w:b/>
          <w:color w:val="00B050"/>
        </w:rPr>
        <w:t xml:space="preserve"> - $109.00</w:t>
      </w:r>
      <w:r w:rsidRPr="002E4AE4">
        <w:rPr>
          <w:rFonts w:asciiTheme="majorHAnsi" w:hAnsiTheme="majorHAnsi"/>
          <w:color w:val="C00000"/>
        </w:rPr>
        <w:t>.</w:t>
      </w:r>
      <w:r w:rsidR="006E439C">
        <w:rPr>
          <w:rFonts w:asciiTheme="majorHAnsi" w:hAnsiTheme="majorHAnsi"/>
          <w:color w:val="C00000"/>
        </w:rPr>
        <w:t xml:space="preserve"> </w:t>
      </w:r>
      <w:r w:rsidRPr="002E4AE4">
        <w:rPr>
          <w:rFonts w:asciiTheme="majorHAnsi" w:hAnsiTheme="majorHAnsi"/>
          <w:b/>
          <w:color w:val="000000" w:themeColor="text1"/>
        </w:rPr>
        <w:t xml:space="preserve">Beneficiaries not subject to the “hold harmless” </w:t>
      </w:r>
      <w:r w:rsidRPr="002E4AE4">
        <w:rPr>
          <w:rFonts w:asciiTheme="majorHAnsi" w:hAnsiTheme="majorHAnsi"/>
          <w:b/>
          <w:color w:val="000000" w:themeColor="text1"/>
        </w:rPr>
        <w:lastRenderedPageBreak/>
        <w:t xml:space="preserve">provision will pay </w:t>
      </w:r>
      <w:r w:rsidR="00A6700A" w:rsidRPr="00A6700A">
        <w:rPr>
          <w:rFonts w:asciiTheme="majorHAnsi" w:hAnsiTheme="majorHAnsi"/>
          <w:b/>
          <w:color w:val="FF0000"/>
        </w:rPr>
        <w:t>$134.00</w:t>
      </w:r>
      <w:r w:rsidR="00A6700A">
        <w:rPr>
          <w:rFonts w:asciiTheme="majorHAnsi" w:hAnsiTheme="majorHAnsi"/>
          <w:b/>
          <w:color w:val="000000" w:themeColor="text1"/>
        </w:rPr>
        <w:t xml:space="preserve">, up from </w:t>
      </w:r>
      <w:r w:rsidRPr="00DF7420">
        <w:rPr>
          <w:rFonts w:asciiTheme="majorHAnsi" w:hAnsiTheme="majorHAnsi"/>
          <w:b/>
          <w:color w:val="0070C0"/>
        </w:rPr>
        <w:t>$121.80</w:t>
      </w:r>
      <w:r w:rsidR="00A6700A">
        <w:rPr>
          <w:rFonts w:asciiTheme="majorHAnsi" w:hAnsiTheme="majorHAnsi"/>
          <w:b/>
          <w:color w:val="0070C0"/>
        </w:rPr>
        <w:t xml:space="preserve"> in 2016</w:t>
      </w:r>
      <w:r w:rsidRPr="00DF7420">
        <w:rPr>
          <w:rFonts w:asciiTheme="majorHAnsi" w:hAnsiTheme="majorHAnsi"/>
          <w:color w:val="0070C0"/>
        </w:rPr>
        <w:t xml:space="preserve">, </w:t>
      </w:r>
      <w:r w:rsidRPr="00693374">
        <w:rPr>
          <w:rFonts w:asciiTheme="majorHAnsi" w:hAnsiTheme="majorHAnsi"/>
        </w:rPr>
        <w:t xml:space="preserve">as calculated reflecting the provisions of the Bipartisan Budget Act signed into law by President Obama </w:t>
      </w:r>
      <w:r w:rsidR="002E4AE4">
        <w:rPr>
          <w:rFonts w:asciiTheme="majorHAnsi" w:hAnsiTheme="majorHAnsi"/>
        </w:rPr>
        <w:t>last year</w:t>
      </w:r>
      <w:r w:rsidRPr="00693374">
        <w:rPr>
          <w:rFonts w:asciiTheme="majorHAnsi" w:hAnsiTheme="majorHAnsi"/>
        </w:rPr>
        <w:t xml:space="preserve">. </w:t>
      </w:r>
      <w:r w:rsidRPr="002E4AE4">
        <w:rPr>
          <w:rFonts w:asciiTheme="majorHAnsi" w:hAnsiTheme="majorHAnsi"/>
          <w:i/>
        </w:rPr>
        <w:t>Medicare Part B beneficiaries not subject to the “hold-harmless” provision are those not collecting Social Security benefits, those who will enroll in Part B for the first time in 2016, dual eligible beneficiaries who have their premiums paid by Medicaid, and beneficiaries who pay an additional income-related premium</w:t>
      </w:r>
      <w:r w:rsidRPr="00693374">
        <w:rPr>
          <w:rFonts w:asciiTheme="majorHAnsi" w:hAnsiTheme="majorHAnsi"/>
        </w:rPr>
        <w:t>. These groups account for about 30 percent of the 52 million Americans expected to be enrolled in Medicare Part B in 201</w:t>
      </w:r>
      <w:r w:rsidR="00EF3D10">
        <w:rPr>
          <w:rFonts w:asciiTheme="majorHAnsi" w:hAnsiTheme="majorHAnsi"/>
        </w:rPr>
        <w:t>7</w:t>
      </w:r>
      <w:r w:rsidRPr="00693374">
        <w:rPr>
          <w:rFonts w:asciiTheme="majorHAnsi" w:hAnsiTheme="majorHAnsi"/>
        </w:rPr>
        <w:t>.</w:t>
      </w:r>
    </w:p>
    <w:p w14:paraId="3C7FE8BB" w14:textId="05BE967C" w:rsidR="00D24097" w:rsidRPr="00D24097" w:rsidRDefault="00D24097" w:rsidP="00693374">
      <w:pPr>
        <w:spacing w:before="100" w:beforeAutospacing="1" w:after="100" w:afterAutospacing="1"/>
        <w:textAlignment w:val="top"/>
        <w:rPr>
          <w:rFonts w:asciiTheme="majorHAnsi" w:hAnsiTheme="majorHAnsi"/>
          <w:sz w:val="22"/>
          <w:szCs w:val="22"/>
        </w:rPr>
      </w:pPr>
      <w:r w:rsidRPr="00693374">
        <w:rPr>
          <w:rFonts w:asciiTheme="majorHAnsi" w:hAnsiTheme="majorHAnsi"/>
        </w:rPr>
        <w:t xml:space="preserve">Since 2007, beneficiaries with higher incomes have paid higher Part B monthly premiums. These income-related monthly adjustment amount (IRMAA) affect fewer than 5 percent of people with Medicare. Under the Part B section of the Bipartisan Budget Act of 2015, high income beneficiaries will pay an additional amount. </w:t>
      </w:r>
    </w:p>
    <w:p w14:paraId="02FA832E" w14:textId="51013452" w:rsidR="00D24097" w:rsidRPr="00EF3D10" w:rsidRDefault="00D24097" w:rsidP="00EF3D10">
      <w:pPr>
        <w:spacing w:before="100" w:beforeAutospacing="1" w:after="100" w:afterAutospacing="1"/>
        <w:textAlignment w:val="top"/>
        <w:rPr>
          <w:rFonts w:asciiTheme="majorHAnsi" w:hAnsiTheme="majorHAnsi"/>
          <w:sz w:val="22"/>
          <w:szCs w:val="22"/>
        </w:rPr>
      </w:pPr>
      <w:r w:rsidRPr="00693374">
        <w:rPr>
          <w:rFonts w:asciiTheme="majorHAnsi" w:hAnsiTheme="majorHAnsi"/>
        </w:rPr>
        <w:t>The IRMAA, additional amounts, and total Part B premiums for high</w:t>
      </w:r>
      <w:r>
        <w:rPr>
          <w:rFonts w:asciiTheme="majorHAnsi" w:hAnsiTheme="majorHAnsi"/>
        </w:rPr>
        <w:t>er</w:t>
      </w:r>
      <w:r w:rsidRPr="00693374">
        <w:rPr>
          <w:rFonts w:asciiTheme="majorHAnsi" w:hAnsiTheme="majorHAnsi"/>
        </w:rPr>
        <w:t xml:space="preserve"> income beneficiaries for 201</w:t>
      </w:r>
      <w:r w:rsidR="00EF3D10">
        <w:rPr>
          <w:rFonts w:asciiTheme="majorHAnsi" w:hAnsiTheme="majorHAnsi"/>
        </w:rPr>
        <w:t>7</w:t>
      </w:r>
      <w:r w:rsidRPr="00693374">
        <w:rPr>
          <w:rFonts w:asciiTheme="majorHAnsi" w:hAnsiTheme="majorHAnsi"/>
        </w:rPr>
        <w:t xml:space="preserve"> are shown in the following table</w:t>
      </w:r>
      <w:r>
        <w:rPr>
          <w:rFonts w:asciiTheme="majorHAnsi" w:hAnsiTheme="majorHAnsi"/>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3"/>
        <w:gridCol w:w="2539"/>
        <w:gridCol w:w="1548"/>
        <w:gridCol w:w="1510"/>
      </w:tblGrid>
      <w:tr w:rsidR="00693374" w:rsidRPr="00693374" w14:paraId="7B3B7CC1"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1063D846" w14:textId="77777777" w:rsidR="00693374" w:rsidRPr="00586D6D" w:rsidRDefault="00693374" w:rsidP="00693374">
            <w:pPr>
              <w:spacing w:before="100" w:beforeAutospacing="1" w:after="100" w:afterAutospacing="1"/>
              <w:rPr>
                <w:rFonts w:asciiTheme="majorHAnsi" w:hAnsiTheme="majorHAnsi"/>
                <w:b/>
                <w:color w:val="000000" w:themeColor="text1"/>
                <w:sz w:val="22"/>
                <w:szCs w:val="22"/>
              </w:rPr>
            </w:pPr>
            <w:r w:rsidRPr="00586D6D">
              <w:rPr>
                <w:rFonts w:asciiTheme="majorHAnsi" w:hAnsiTheme="majorHAnsi"/>
                <w:b/>
                <w:color w:val="000000" w:themeColor="text1"/>
                <w:sz w:val="22"/>
                <w:szCs w:val="22"/>
              </w:rPr>
              <w:t>Beneficiaries who file an individual tax return with income:</w:t>
            </w:r>
          </w:p>
        </w:tc>
        <w:tc>
          <w:tcPr>
            <w:tcW w:w="2539" w:type="dxa"/>
            <w:tcBorders>
              <w:top w:val="outset" w:sz="6" w:space="0" w:color="auto"/>
              <w:left w:val="outset" w:sz="6" w:space="0" w:color="auto"/>
              <w:bottom w:val="outset" w:sz="6" w:space="0" w:color="auto"/>
              <w:right w:val="outset" w:sz="6" w:space="0" w:color="auto"/>
            </w:tcBorders>
            <w:vAlign w:val="bottom"/>
            <w:hideMark/>
          </w:tcPr>
          <w:p w14:paraId="616C9ECA" w14:textId="77777777" w:rsidR="00693374" w:rsidRPr="00586D6D" w:rsidRDefault="00693374" w:rsidP="00693374">
            <w:pPr>
              <w:spacing w:before="100" w:beforeAutospacing="1" w:after="100" w:afterAutospacing="1"/>
              <w:rPr>
                <w:rFonts w:asciiTheme="majorHAnsi" w:hAnsiTheme="majorHAnsi"/>
                <w:b/>
                <w:color w:val="000000" w:themeColor="text1"/>
                <w:sz w:val="22"/>
                <w:szCs w:val="22"/>
              </w:rPr>
            </w:pPr>
            <w:r w:rsidRPr="00586D6D">
              <w:rPr>
                <w:rFonts w:asciiTheme="majorHAnsi" w:hAnsiTheme="majorHAnsi"/>
                <w:b/>
                <w:color w:val="000000" w:themeColor="text1"/>
                <w:sz w:val="22"/>
                <w:szCs w:val="22"/>
              </w:rPr>
              <w:t>Beneficiaries who file a joint tax return with income:</w:t>
            </w:r>
          </w:p>
        </w:tc>
        <w:tc>
          <w:tcPr>
            <w:tcW w:w="1548" w:type="dxa"/>
            <w:tcBorders>
              <w:top w:val="outset" w:sz="6" w:space="0" w:color="auto"/>
              <w:left w:val="outset" w:sz="6" w:space="0" w:color="auto"/>
              <w:bottom w:val="outset" w:sz="6" w:space="0" w:color="auto"/>
              <w:right w:val="outset" w:sz="6" w:space="0" w:color="auto"/>
            </w:tcBorders>
            <w:vAlign w:val="bottom"/>
            <w:hideMark/>
          </w:tcPr>
          <w:p w14:paraId="1F148F6A" w14:textId="001C8277" w:rsidR="00693374" w:rsidRPr="00586D6D" w:rsidRDefault="00693374" w:rsidP="00693374">
            <w:pPr>
              <w:spacing w:before="100" w:beforeAutospacing="1" w:after="100" w:afterAutospacing="1"/>
              <w:jc w:val="center"/>
              <w:rPr>
                <w:rFonts w:asciiTheme="majorHAnsi" w:hAnsiTheme="majorHAnsi"/>
                <w:b/>
                <w:color w:val="000000" w:themeColor="text1"/>
                <w:sz w:val="22"/>
                <w:szCs w:val="22"/>
              </w:rPr>
            </w:pPr>
            <w:r w:rsidRPr="00586D6D">
              <w:rPr>
                <w:rFonts w:asciiTheme="majorHAnsi" w:hAnsiTheme="majorHAnsi"/>
                <w:b/>
                <w:color w:val="000000" w:themeColor="text1"/>
                <w:sz w:val="22"/>
                <w:szCs w:val="22"/>
              </w:rPr>
              <w:t xml:space="preserve">Income-related monthly adjustment </w:t>
            </w:r>
            <w:r w:rsidR="00586D6D">
              <w:rPr>
                <w:rFonts w:asciiTheme="majorHAnsi" w:hAnsiTheme="majorHAnsi"/>
                <w:b/>
                <w:color w:val="000000" w:themeColor="text1"/>
                <w:sz w:val="22"/>
                <w:szCs w:val="22"/>
              </w:rPr>
              <w:t xml:space="preserve">(IRMAA) </w:t>
            </w:r>
            <w:r w:rsidRPr="00586D6D">
              <w:rPr>
                <w:rFonts w:asciiTheme="majorHAnsi" w:hAnsiTheme="majorHAnsi"/>
                <w:b/>
                <w:color w:val="000000" w:themeColor="text1"/>
                <w:sz w:val="22"/>
                <w:szCs w:val="22"/>
              </w:rPr>
              <w:t>amount</w:t>
            </w:r>
          </w:p>
        </w:tc>
        <w:tc>
          <w:tcPr>
            <w:tcW w:w="1510" w:type="dxa"/>
            <w:tcBorders>
              <w:top w:val="outset" w:sz="6" w:space="0" w:color="auto"/>
              <w:left w:val="outset" w:sz="6" w:space="0" w:color="auto"/>
              <w:bottom w:val="outset" w:sz="6" w:space="0" w:color="auto"/>
              <w:right w:val="outset" w:sz="6" w:space="0" w:color="auto"/>
            </w:tcBorders>
            <w:vAlign w:val="bottom"/>
            <w:hideMark/>
          </w:tcPr>
          <w:p w14:paraId="72CE9BCA" w14:textId="77777777" w:rsidR="00693374" w:rsidRPr="00586D6D" w:rsidRDefault="00693374" w:rsidP="00693374">
            <w:pPr>
              <w:spacing w:before="100" w:beforeAutospacing="1" w:after="100" w:afterAutospacing="1"/>
              <w:jc w:val="center"/>
              <w:rPr>
                <w:rFonts w:asciiTheme="majorHAnsi" w:hAnsiTheme="majorHAnsi"/>
                <w:b/>
                <w:color w:val="000000" w:themeColor="text1"/>
                <w:sz w:val="22"/>
                <w:szCs w:val="22"/>
              </w:rPr>
            </w:pPr>
            <w:r w:rsidRPr="00586D6D">
              <w:rPr>
                <w:rFonts w:asciiTheme="majorHAnsi" w:hAnsiTheme="majorHAnsi"/>
                <w:b/>
                <w:color w:val="000000" w:themeColor="text1"/>
                <w:sz w:val="22"/>
                <w:szCs w:val="22"/>
              </w:rPr>
              <w:t>Total monthly premium amount</w:t>
            </w:r>
          </w:p>
        </w:tc>
      </w:tr>
      <w:tr w:rsidR="00693374" w:rsidRPr="00693374" w14:paraId="637CB732"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342DF95E"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Less than or equal to $85,000</w:t>
            </w:r>
          </w:p>
        </w:tc>
        <w:tc>
          <w:tcPr>
            <w:tcW w:w="2539" w:type="dxa"/>
            <w:tcBorders>
              <w:top w:val="outset" w:sz="6" w:space="0" w:color="auto"/>
              <w:left w:val="outset" w:sz="6" w:space="0" w:color="auto"/>
              <w:bottom w:val="outset" w:sz="6" w:space="0" w:color="auto"/>
              <w:right w:val="outset" w:sz="6" w:space="0" w:color="auto"/>
            </w:tcBorders>
            <w:vAlign w:val="bottom"/>
            <w:hideMark/>
          </w:tcPr>
          <w:p w14:paraId="62C44B5C"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Less than or equal to $170,000</w:t>
            </w:r>
          </w:p>
        </w:tc>
        <w:tc>
          <w:tcPr>
            <w:tcW w:w="1548" w:type="dxa"/>
            <w:tcBorders>
              <w:top w:val="outset" w:sz="6" w:space="0" w:color="auto"/>
              <w:left w:val="outset" w:sz="6" w:space="0" w:color="auto"/>
              <w:bottom w:val="outset" w:sz="6" w:space="0" w:color="auto"/>
              <w:right w:val="outset" w:sz="6" w:space="0" w:color="auto"/>
            </w:tcBorders>
            <w:vAlign w:val="bottom"/>
            <w:hideMark/>
          </w:tcPr>
          <w:p w14:paraId="1F8BFBD0" w14:textId="77777777" w:rsidR="00693374" w:rsidRPr="00586D6D" w:rsidRDefault="00693374" w:rsidP="00693374">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$0.00</w:t>
            </w:r>
          </w:p>
        </w:tc>
        <w:tc>
          <w:tcPr>
            <w:tcW w:w="1510" w:type="dxa"/>
            <w:tcBorders>
              <w:top w:val="outset" w:sz="6" w:space="0" w:color="auto"/>
              <w:left w:val="outset" w:sz="6" w:space="0" w:color="auto"/>
              <w:bottom w:val="outset" w:sz="6" w:space="0" w:color="auto"/>
              <w:right w:val="outset" w:sz="6" w:space="0" w:color="auto"/>
            </w:tcBorders>
            <w:vAlign w:val="bottom"/>
            <w:hideMark/>
          </w:tcPr>
          <w:p w14:paraId="584829E9" w14:textId="3B876D8F" w:rsidR="00693374" w:rsidRPr="00586D6D" w:rsidRDefault="00EF3D10" w:rsidP="00693374">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$134.00</w:t>
            </w:r>
          </w:p>
        </w:tc>
      </w:tr>
      <w:tr w:rsidR="00693374" w:rsidRPr="00693374" w14:paraId="739DC0AD"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428CD40D"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$85,000 and less than or equal to $107,000</w:t>
            </w:r>
          </w:p>
        </w:tc>
        <w:tc>
          <w:tcPr>
            <w:tcW w:w="2539" w:type="dxa"/>
            <w:tcBorders>
              <w:top w:val="outset" w:sz="6" w:space="0" w:color="auto"/>
              <w:left w:val="outset" w:sz="6" w:space="0" w:color="auto"/>
              <w:bottom w:val="outset" w:sz="6" w:space="0" w:color="auto"/>
              <w:right w:val="outset" w:sz="6" w:space="0" w:color="auto"/>
            </w:tcBorders>
            <w:vAlign w:val="bottom"/>
            <w:hideMark/>
          </w:tcPr>
          <w:p w14:paraId="2FAFDD3A"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$170,000 and less than or equal to $214,000</w:t>
            </w:r>
          </w:p>
        </w:tc>
        <w:tc>
          <w:tcPr>
            <w:tcW w:w="1548" w:type="dxa"/>
            <w:tcBorders>
              <w:top w:val="outset" w:sz="6" w:space="0" w:color="auto"/>
              <w:left w:val="outset" w:sz="6" w:space="0" w:color="auto"/>
              <w:bottom w:val="outset" w:sz="6" w:space="0" w:color="auto"/>
              <w:right w:val="outset" w:sz="6" w:space="0" w:color="auto"/>
            </w:tcBorders>
            <w:vAlign w:val="bottom"/>
            <w:hideMark/>
          </w:tcPr>
          <w:p w14:paraId="08C6C022" w14:textId="77777777" w:rsidR="00693374" w:rsidRPr="00586D6D" w:rsidRDefault="00693374" w:rsidP="00693374">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48.70</w:t>
            </w:r>
          </w:p>
        </w:tc>
        <w:tc>
          <w:tcPr>
            <w:tcW w:w="1510" w:type="dxa"/>
            <w:tcBorders>
              <w:top w:val="outset" w:sz="6" w:space="0" w:color="auto"/>
              <w:left w:val="outset" w:sz="6" w:space="0" w:color="auto"/>
              <w:bottom w:val="outset" w:sz="6" w:space="0" w:color="auto"/>
              <w:right w:val="outset" w:sz="6" w:space="0" w:color="auto"/>
            </w:tcBorders>
            <w:vAlign w:val="bottom"/>
            <w:hideMark/>
          </w:tcPr>
          <w:p w14:paraId="4BC58575" w14:textId="1ACDE1D9" w:rsidR="00693374" w:rsidRPr="00586D6D" w:rsidRDefault="00EF3D10" w:rsidP="00693374">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187.50</w:t>
            </w:r>
          </w:p>
        </w:tc>
      </w:tr>
      <w:tr w:rsidR="00693374" w:rsidRPr="00693374" w14:paraId="4AFA22D2"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05F5B1A0"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$107,000 and less than or equal to $160,000</w:t>
            </w:r>
          </w:p>
        </w:tc>
        <w:tc>
          <w:tcPr>
            <w:tcW w:w="2539" w:type="dxa"/>
            <w:tcBorders>
              <w:top w:val="outset" w:sz="6" w:space="0" w:color="auto"/>
              <w:left w:val="outset" w:sz="6" w:space="0" w:color="auto"/>
              <w:bottom w:val="outset" w:sz="6" w:space="0" w:color="auto"/>
              <w:right w:val="outset" w:sz="6" w:space="0" w:color="auto"/>
            </w:tcBorders>
            <w:vAlign w:val="bottom"/>
            <w:hideMark/>
          </w:tcPr>
          <w:p w14:paraId="3DABF582"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$214,000 and less than or equal to $320,000</w:t>
            </w:r>
          </w:p>
        </w:tc>
        <w:tc>
          <w:tcPr>
            <w:tcW w:w="1548" w:type="dxa"/>
            <w:tcBorders>
              <w:top w:val="outset" w:sz="6" w:space="0" w:color="auto"/>
              <w:left w:val="outset" w:sz="6" w:space="0" w:color="auto"/>
              <w:bottom w:val="outset" w:sz="6" w:space="0" w:color="auto"/>
              <w:right w:val="outset" w:sz="6" w:space="0" w:color="auto"/>
            </w:tcBorders>
            <w:vAlign w:val="bottom"/>
            <w:hideMark/>
          </w:tcPr>
          <w:p w14:paraId="08F6406A" w14:textId="77777777" w:rsidR="00693374" w:rsidRPr="00586D6D" w:rsidRDefault="00693374" w:rsidP="00693374">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121.80</w:t>
            </w:r>
          </w:p>
        </w:tc>
        <w:tc>
          <w:tcPr>
            <w:tcW w:w="1510" w:type="dxa"/>
            <w:tcBorders>
              <w:top w:val="outset" w:sz="6" w:space="0" w:color="auto"/>
              <w:left w:val="outset" w:sz="6" w:space="0" w:color="auto"/>
              <w:bottom w:val="outset" w:sz="6" w:space="0" w:color="auto"/>
              <w:right w:val="outset" w:sz="6" w:space="0" w:color="auto"/>
            </w:tcBorders>
            <w:vAlign w:val="bottom"/>
            <w:hideMark/>
          </w:tcPr>
          <w:p w14:paraId="6A11E138" w14:textId="1CBAD0CD" w:rsidR="00693374" w:rsidRPr="00586D6D" w:rsidRDefault="00EF3D10" w:rsidP="00693374">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267.90</w:t>
            </w:r>
          </w:p>
        </w:tc>
      </w:tr>
      <w:tr w:rsidR="00693374" w:rsidRPr="00693374" w14:paraId="7C11F8AC"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7916A754"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$160,000 and less than or equal to $214,000</w:t>
            </w:r>
          </w:p>
        </w:tc>
        <w:tc>
          <w:tcPr>
            <w:tcW w:w="2539" w:type="dxa"/>
            <w:tcBorders>
              <w:top w:val="outset" w:sz="6" w:space="0" w:color="auto"/>
              <w:left w:val="outset" w:sz="6" w:space="0" w:color="auto"/>
              <w:bottom w:val="outset" w:sz="6" w:space="0" w:color="auto"/>
              <w:right w:val="outset" w:sz="6" w:space="0" w:color="auto"/>
            </w:tcBorders>
            <w:vAlign w:val="bottom"/>
            <w:hideMark/>
          </w:tcPr>
          <w:p w14:paraId="751E47EF"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$320,000 and less than or equal to $428,000</w:t>
            </w:r>
          </w:p>
        </w:tc>
        <w:tc>
          <w:tcPr>
            <w:tcW w:w="1548" w:type="dxa"/>
            <w:tcBorders>
              <w:top w:val="outset" w:sz="6" w:space="0" w:color="auto"/>
              <w:left w:val="outset" w:sz="6" w:space="0" w:color="auto"/>
              <w:bottom w:val="outset" w:sz="6" w:space="0" w:color="auto"/>
              <w:right w:val="outset" w:sz="6" w:space="0" w:color="auto"/>
            </w:tcBorders>
            <w:vAlign w:val="bottom"/>
            <w:hideMark/>
          </w:tcPr>
          <w:p w14:paraId="25BA96EF" w14:textId="77777777" w:rsidR="00693374" w:rsidRPr="00586D6D" w:rsidRDefault="00693374" w:rsidP="00693374">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194.90</w:t>
            </w:r>
          </w:p>
        </w:tc>
        <w:tc>
          <w:tcPr>
            <w:tcW w:w="1510" w:type="dxa"/>
            <w:tcBorders>
              <w:top w:val="outset" w:sz="6" w:space="0" w:color="auto"/>
              <w:left w:val="outset" w:sz="6" w:space="0" w:color="auto"/>
              <w:bottom w:val="outset" w:sz="6" w:space="0" w:color="auto"/>
              <w:right w:val="outset" w:sz="6" w:space="0" w:color="auto"/>
            </w:tcBorders>
            <w:vAlign w:val="bottom"/>
            <w:hideMark/>
          </w:tcPr>
          <w:p w14:paraId="023D1317" w14:textId="196944AC" w:rsidR="00693374" w:rsidRPr="00586D6D" w:rsidRDefault="00EF3D10" w:rsidP="00693374">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348.30</w:t>
            </w:r>
          </w:p>
        </w:tc>
      </w:tr>
      <w:tr w:rsidR="00693374" w:rsidRPr="00693374" w14:paraId="2A59E26E" w14:textId="77777777" w:rsidTr="00EF3D10">
        <w:trPr>
          <w:tblCellSpacing w:w="0" w:type="dxa"/>
          <w:jc w:val="center"/>
        </w:trPr>
        <w:tc>
          <w:tcPr>
            <w:tcW w:w="3073" w:type="dxa"/>
            <w:tcBorders>
              <w:top w:val="outset" w:sz="6" w:space="0" w:color="auto"/>
              <w:left w:val="outset" w:sz="6" w:space="0" w:color="auto"/>
              <w:bottom w:val="outset" w:sz="6" w:space="0" w:color="auto"/>
              <w:right w:val="outset" w:sz="6" w:space="0" w:color="auto"/>
            </w:tcBorders>
            <w:vAlign w:val="bottom"/>
            <w:hideMark/>
          </w:tcPr>
          <w:p w14:paraId="587DDBD7"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$214,000</w:t>
            </w:r>
          </w:p>
        </w:tc>
        <w:tc>
          <w:tcPr>
            <w:tcW w:w="2539" w:type="dxa"/>
            <w:tcBorders>
              <w:top w:val="outset" w:sz="6" w:space="0" w:color="auto"/>
              <w:left w:val="outset" w:sz="6" w:space="0" w:color="auto"/>
              <w:bottom w:val="outset" w:sz="6" w:space="0" w:color="auto"/>
              <w:right w:val="outset" w:sz="6" w:space="0" w:color="auto"/>
            </w:tcBorders>
            <w:vAlign w:val="bottom"/>
            <w:hideMark/>
          </w:tcPr>
          <w:p w14:paraId="6F67B386" w14:textId="77777777" w:rsidR="00693374" w:rsidRPr="00586D6D" w:rsidRDefault="00693374" w:rsidP="00693374">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$428,000</w:t>
            </w:r>
          </w:p>
        </w:tc>
        <w:tc>
          <w:tcPr>
            <w:tcW w:w="1548" w:type="dxa"/>
            <w:tcBorders>
              <w:top w:val="outset" w:sz="6" w:space="0" w:color="auto"/>
              <w:left w:val="outset" w:sz="6" w:space="0" w:color="auto"/>
              <w:bottom w:val="outset" w:sz="6" w:space="0" w:color="auto"/>
              <w:right w:val="outset" w:sz="6" w:space="0" w:color="auto"/>
            </w:tcBorders>
            <w:vAlign w:val="bottom"/>
            <w:hideMark/>
          </w:tcPr>
          <w:p w14:paraId="785F1583" w14:textId="77777777" w:rsidR="00693374" w:rsidRPr="00586D6D" w:rsidRDefault="00693374" w:rsidP="00693374">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268.00</w:t>
            </w:r>
          </w:p>
        </w:tc>
        <w:tc>
          <w:tcPr>
            <w:tcW w:w="1510" w:type="dxa"/>
            <w:tcBorders>
              <w:top w:val="outset" w:sz="6" w:space="0" w:color="auto"/>
              <w:left w:val="outset" w:sz="6" w:space="0" w:color="auto"/>
              <w:bottom w:val="outset" w:sz="6" w:space="0" w:color="auto"/>
              <w:right w:val="outset" w:sz="6" w:space="0" w:color="auto"/>
            </w:tcBorders>
            <w:vAlign w:val="bottom"/>
            <w:hideMark/>
          </w:tcPr>
          <w:p w14:paraId="72C929EA" w14:textId="1615BB5E" w:rsidR="00693374" w:rsidRPr="00586D6D" w:rsidRDefault="00EF3D10" w:rsidP="00693374">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428.60</w:t>
            </w:r>
          </w:p>
        </w:tc>
      </w:tr>
    </w:tbl>
    <w:p w14:paraId="1B250A87" w14:textId="77777777" w:rsidR="00EF3D10" w:rsidRPr="00586D6D" w:rsidRDefault="00EF3D10" w:rsidP="00EF3D10">
      <w:pPr>
        <w:spacing w:before="100" w:beforeAutospacing="1" w:after="100" w:afterAutospacing="1"/>
        <w:textAlignment w:val="top"/>
        <w:rPr>
          <w:rFonts w:asciiTheme="majorHAnsi" w:hAnsiTheme="majorHAnsi"/>
        </w:rPr>
      </w:pPr>
      <w:r w:rsidRPr="00586D6D">
        <w:rPr>
          <w:rFonts w:asciiTheme="majorHAnsi" w:hAnsiTheme="majorHAnsi"/>
        </w:rPr>
        <w:t>Premiums for beneficiaries who are married and lived with their spouse at any time during the taxable year, but file a separate return, are as follows: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0"/>
        <w:gridCol w:w="1806"/>
        <w:gridCol w:w="1604"/>
      </w:tblGrid>
      <w:tr w:rsidR="00EF3D10" w:rsidRPr="00693374" w14:paraId="7174114B" w14:textId="77777777" w:rsidTr="001D3AE5">
        <w:trPr>
          <w:tblCellSpacing w:w="0" w:type="dxa"/>
          <w:jc w:val="center"/>
        </w:trPr>
        <w:tc>
          <w:tcPr>
            <w:tcW w:w="5900" w:type="dxa"/>
            <w:tcBorders>
              <w:top w:val="outset" w:sz="6" w:space="0" w:color="auto"/>
              <w:left w:val="outset" w:sz="6" w:space="0" w:color="auto"/>
              <w:bottom w:val="outset" w:sz="6" w:space="0" w:color="auto"/>
              <w:right w:val="outset" w:sz="6" w:space="0" w:color="auto"/>
            </w:tcBorders>
            <w:vAlign w:val="bottom"/>
            <w:hideMark/>
          </w:tcPr>
          <w:p w14:paraId="771194A3" w14:textId="77777777" w:rsidR="00EF3D10" w:rsidRPr="00586D6D" w:rsidRDefault="00EF3D10" w:rsidP="001D3AE5">
            <w:pPr>
              <w:spacing w:before="100" w:beforeAutospacing="1" w:after="100" w:afterAutospacing="1"/>
              <w:rPr>
                <w:rFonts w:asciiTheme="majorHAnsi" w:hAnsiTheme="majorHAnsi"/>
                <w:b/>
                <w:color w:val="000000" w:themeColor="text1"/>
                <w:sz w:val="22"/>
                <w:szCs w:val="22"/>
              </w:rPr>
            </w:pPr>
            <w:r w:rsidRPr="00586D6D">
              <w:rPr>
                <w:rFonts w:asciiTheme="majorHAnsi" w:hAnsiTheme="majorHAnsi"/>
                <w:b/>
                <w:color w:val="000000" w:themeColor="text1"/>
                <w:sz w:val="22"/>
                <w:szCs w:val="22"/>
              </w:rPr>
              <w:t>Beneficiaries who are married and lived with their spouse at any time during the year, but file a separate tax return from their spouse:</w:t>
            </w:r>
          </w:p>
        </w:tc>
        <w:tc>
          <w:tcPr>
            <w:tcW w:w="1920" w:type="dxa"/>
            <w:tcBorders>
              <w:top w:val="outset" w:sz="6" w:space="0" w:color="auto"/>
              <w:left w:val="outset" w:sz="6" w:space="0" w:color="auto"/>
              <w:bottom w:val="outset" w:sz="6" w:space="0" w:color="auto"/>
              <w:right w:val="outset" w:sz="6" w:space="0" w:color="auto"/>
            </w:tcBorders>
            <w:vAlign w:val="bottom"/>
            <w:hideMark/>
          </w:tcPr>
          <w:p w14:paraId="788028DF" w14:textId="77777777" w:rsidR="00EF3D10" w:rsidRPr="00586D6D" w:rsidRDefault="00EF3D10" w:rsidP="001D3AE5">
            <w:pPr>
              <w:spacing w:before="100" w:beforeAutospacing="1" w:after="100" w:afterAutospacing="1"/>
              <w:jc w:val="center"/>
              <w:rPr>
                <w:rFonts w:asciiTheme="majorHAnsi" w:hAnsiTheme="majorHAnsi"/>
                <w:b/>
                <w:color w:val="000000" w:themeColor="text1"/>
                <w:sz w:val="22"/>
                <w:szCs w:val="22"/>
              </w:rPr>
            </w:pPr>
            <w:r w:rsidRPr="00586D6D">
              <w:rPr>
                <w:rFonts w:asciiTheme="majorHAnsi" w:hAnsiTheme="majorHAnsi"/>
                <w:b/>
                <w:color w:val="000000" w:themeColor="text1"/>
                <w:sz w:val="22"/>
                <w:szCs w:val="22"/>
              </w:rPr>
              <w:t xml:space="preserve">Income-related monthly adjustment </w:t>
            </w:r>
            <w:r>
              <w:rPr>
                <w:rFonts w:asciiTheme="majorHAnsi" w:hAnsiTheme="majorHAnsi"/>
                <w:b/>
                <w:color w:val="000000" w:themeColor="text1"/>
                <w:sz w:val="22"/>
                <w:szCs w:val="22"/>
              </w:rPr>
              <w:t xml:space="preserve">(IRMAA) </w:t>
            </w:r>
            <w:r w:rsidRPr="00586D6D">
              <w:rPr>
                <w:rFonts w:asciiTheme="majorHAnsi" w:hAnsiTheme="majorHAnsi"/>
                <w:b/>
                <w:color w:val="000000" w:themeColor="text1"/>
                <w:sz w:val="22"/>
                <w:szCs w:val="22"/>
              </w:rPr>
              <w:t>amount</w:t>
            </w:r>
          </w:p>
        </w:tc>
        <w:tc>
          <w:tcPr>
            <w:tcW w:w="1720" w:type="dxa"/>
            <w:tcBorders>
              <w:top w:val="outset" w:sz="6" w:space="0" w:color="auto"/>
              <w:left w:val="outset" w:sz="6" w:space="0" w:color="auto"/>
              <w:bottom w:val="outset" w:sz="6" w:space="0" w:color="auto"/>
              <w:right w:val="outset" w:sz="6" w:space="0" w:color="auto"/>
            </w:tcBorders>
            <w:vAlign w:val="bottom"/>
            <w:hideMark/>
          </w:tcPr>
          <w:p w14:paraId="67ACF65C" w14:textId="77777777" w:rsidR="00EF3D10" w:rsidRPr="00586D6D" w:rsidRDefault="00EF3D10" w:rsidP="001D3AE5">
            <w:pPr>
              <w:spacing w:before="100" w:beforeAutospacing="1" w:after="100" w:afterAutospacing="1"/>
              <w:jc w:val="center"/>
              <w:rPr>
                <w:rFonts w:asciiTheme="majorHAnsi" w:hAnsiTheme="majorHAnsi"/>
                <w:b/>
                <w:color w:val="000000" w:themeColor="text1"/>
                <w:sz w:val="22"/>
                <w:szCs w:val="22"/>
              </w:rPr>
            </w:pPr>
            <w:r w:rsidRPr="00586D6D">
              <w:rPr>
                <w:rFonts w:asciiTheme="majorHAnsi" w:hAnsiTheme="majorHAnsi"/>
                <w:b/>
                <w:color w:val="000000" w:themeColor="text1"/>
                <w:sz w:val="22"/>
                <w:szCs w:val="22"/>
              </w:rPr>
              <w:t>Total monthly premium amount</w:t>
            </w:r>
          </w:p>
        </w:tc>
      </w:tr>
      <w:tr w:rsidR="00EF3D10" w:rsidRPr="00693374" w14:paraId="08DF5484" w14:textId="77777777" w:rsidTr="001D3AE5">
        <w:trPr>
          <w:tblCellSpacing w:w="0" w:type="dxa"/>
          <w:jc w:val="center"/>
        </w:trPr>
        <w:tc>
          <w:tcPr>
            <w:tcW w:w="5900" w:type="dxa"/>
            <w:tcBorders>
              <w:top w:val="outset" w:sz="6" w:space="0" w:color="auto"/>
              <w:left w:val="outset" w:sz="6" w:space="0" w:color="auto"/>
              <w:bottom w:val="outset" w:sz="6" w:space="0" w:color="auto"/>
              <w:right w:val="outset" w:sz="6" w:space="0" w:color="auto"/>
            </w:tcBorders>
            <w:vAlign w:val="bottom"/>
            <w:hideMark/>
          </w:tcPr>
          <w:p w14:paraId="0CC85D57" w14:textId="77777777" w:rsidR="00EF3D10" w:rsidRPr="00586D6D" w:rsidRDefault="00EF3D10" w:rsidP="001D3AE5">
            <w:pPr>
              <w:spacing w:before="100" w:beforeAutospacing="1" w:after="100" w:afterAutospacing="1"/>
              <w:rPr>
                <w:rFonts w:asciiTheme="majorHAnsi" w:hAnsiTheme="majorHAnsi"/>
                <w:sz w:val="22"/>
                <w:szCs w:val="22"/>
              </w:rPr>
            </w:pPr>
            <w:r w:rsidRPr="00586D6D">
              <w:rPr>
                <w:rFonts w:asciiTheme="majorHAnsi" w:hAnsiTheme="majorHAnsi"/>
                <w:sz w:val="22"/>
                <w:szCs w:val="22"/>
              </w:rPr>
              <w:t>Less than or equal to $85,000</w:t>
            </w:r>
          </w:p>
        </w:tc>
        <w:tc>
          <w:tcPr>
            <w:tcW w:w="1920" w:type="dxa"/>
            <w:tcBorders>
              <w:top w:val="outset" w:sz="6" w:space="0" w:color="auto"/>
              <w:left w:val="outset" w:sz="6" w:space="0" w:color="auto"/>
              <w:bottom w:val="outset" w:sz="6" w:space="0" w:color="auto"/>
              <w:right w:val="outset" w:sz="6" w:space="0" w:color="auto"/>
            </w:tcBorders>
            <w:vAlign w:val="bottom"/>
            <w:hideMark/>
          </w:tcPr>
          <w:p w14:paraId="7DB18614" w14:textId="77777777" w:rsidR="00EF3D10" w:rsidRPr="00586D6D" w:rsidRDefault="00EF3D10" w:rsidP="001D3AE5">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$0.00</w:t>
            </w:r>
          </w:p>
        </w:tc>
        <w:tc>
          <w:tcPr>
            <w:tcW w:w="1720" w:type="dxa"/>
            <w:tcBorders>
              <w:top w:val="outset" w:sz="6" w:space="0" w:color="auto"/>
              <w:left w:val="outset" w:sz="6" w:space="0" w:color="auto"/>
              <w:bottom w:val="outset" w:sz="6" w:space="0" w:color="auto"/>
              <w:right w:val="outset" w:sz="6" w:space="0" w:color="auto"/>
            </w:tcBorders>
            <w:vAlign w:val="bottom"/>
            <w:hideMark/>
          </w:tcPr>
          <w:p w14:paraId="1E71A54E" w14:textId="77777777" w:rsidR="00EF3D10" w:rsidRPr="00586D6D" w:rsidRDefault="00EF3D10" w:rsidP="001D3AE5">
            <w:pPr>
              <w:spacing w:before="100" w:beforeAutospacing="1" w:after="100" w:afterAutospacing="1"/>
              <w:jc w:val="right"/>
              <w:rPr>
                <w:rFonts w:asciiTheme="majorHAnsi" w:hAnsiTheme="majorHAnsi"/>
                <w:color w:val="0070C0"/>
                <w:sz w:val="22"/>
                <w:szCs w:val="22"/>
              </w:rPr>
            </w:pPr>
            <w:r w:rsidRPr="00586D6D">
              <w:rPr>
                <w:rFonts w:asciiTheme="majorHAnsi" w:hAnsiTheme="majorHAnsi"/>
                <w:color w:val="0070C0"/>
                <w:sz w:val="22"/>
                <w:szCs w:val="22"/>
              </w:rPr>
              <w:t>$</w:t>
            </w:r>
            <w:r>
              <w:rPr>
                <w:rFonts w:asciiTheme="majorHAnsi" w:hAnsiTheme="majorHAnsi"/>
                <w:color w:val="0070C0"/>
                <w:sz w:val="22"/>
                <w:szCs w:val="22"/>
              </w:rPr>
              <w:t>134.00</w:t>
            </w:r>
          </w:p>
        </w:tc>
      </w:tr>
      <w:tr w:rsidR="00EF3D10" w:rsidRPr="00693374" w14:paraId="2147BEE8" w14:textId="77777777" w:rsidTr="001D3AE5">
        <w:trPr>
          <w:tblCellSpacing w:w="0" w:type="dxa"/>
          <w:jc w:val="center"/>
        </w:trPr>
        <w:tc>
          <w:tcPr>
            <w:tcW w:w="5900" w:type="dxa"/>
            <w:tcBorders>
              <w:top w:val="outset" w:sz="6" w:space="0" w:color="auto"/>
              <w:left w:val="outset" w:sz="6" w:space="0" w:color="auto"/>
              <w:bottom w:val="outset" w:sz="6" w:space="0" w:color="auto"/>
              <w:right w:val="outset" w:sz="6" w:space="0" w:color="auto"/>
            </w:tcBorders>
            <w:vAlign w:val="bottom"/>
            <w:hideMark/>
          </w:tcPr>
          <w:p w14:paraId="7ABA01C0" w14:textId="77777777" w:rsidR="00EF3D10" w:rsidRPr="00586D6D" w:rsidRDefault="00EF3D10" w:rsidP="001D3AE5">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$85,000 and less than or equal to $129,000</w:t>
            </w:r>
          </w:p>
        </w:tc>
        <w:tc>
          <w:tcPr>
            <w:tcW w:w="1920" w:type="dxa"/>
            <w:tcBorders>
              <w:top w:val="outset" w:sz="6" w:space="0" w:color="auto"/>
              <w:left w:val="outset" w:sz="6" w:space="0" w:color="auto"/>
              <w:bottom w:val="outset" w:sz="6" w:space="0" w:color="auto"/>
              <w:right w:val="outset" w:sz="6" w:space="0" w:color="auto"/>
            </w:tcBorders>
            <w:vAlign w:val="bottom"/>
            <w:hideMark/>
          </w:tcPr>
          <w:p w14:paraId="4CE20CA0" w14:textId="77777777" w:rsidR="00EF3D10" w:rsidRPr="00586D6D" w:rsidRDefault="00EF3D10" w:rsidP="001D3AE5">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194.90</w:t>
            </w:r>
          </w:p>
        </w:tc>
        <w:tc>
          <w:tcPr>
            <w:tcW w:w="1720" w:type="dxa"/>
            <w:tcBorders>
              <w:top w:val="outset" w:sz="6" w:space="0" w:color="auto"/>
              <w:left w:val="outset" w:sz="6" w:space="0" w:color="auto"/>
              <w:bottom w:val="outset" w:sz="6" w:space="0" w:color="auto"/>
              <w:right w:val="outset" w:sz="6" w:space="0" w:color="auto"/>
            </w:tcBorders>
            <w:vAlign w:val="bottom"/>
            <w:hideMark/>
          </w:tcPr>
          <w:p w14:paraId="170B22EE" w14:textId="77777777" w:rsidR="00EF3D10" w:rsidRPr="00586D6D" w:rsidRDefault="00EF3D10" w:rsidP="001D3AE5">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348.30</w:t>
            </w:r>
          </w:p>
        </w:tc>
      </w:tr>
      <w:tr w:rsidR="00EF3D10" w:rsidRPr="00693374" w14:paraId="055146F5" w14:textId="77777777" w:rsidTr="001D3AE5">
        <w:trPr>
          <w:tblCellSpacing w:w="0" w:type="dxa"/>
          <w:jc w:val="center"/>
        </w:trPr>
        <w:tc>
          <w:tcPr>
            <w:tcW w:w="5900" w:type="dxa"/>
            <w:tcBorders>
              <w:top w:val="outset" w:sz="6" w:space="0" w:color="auto"/>
              <w:left w:val="outset" w:sz="6" w:space="0" w:color="auto"/>
              <w:bottom w:val="outset" w:sz="6" w:space="0" w:color="auto"/>
              <w:right w:val="outset" w:sz="6" w:space="0" w:color="auto"/>
            </w:tcBorders>
            <w:vAlign w:val="bottom"/>
            <w:hideMark/>
          </w:tcPr>
          <w:p w14:paraId="587397D5" w14:textId="77777777" w:rsidR="00EF3D10" w:rsidRPr="00586D6D" w:rsidRDefault="00EF3D10" w:rsidP="001D3AE5">
            <w:pPr>
              <w:spacing w:before="100" w:beforeAutospacing="1" w:after="100" w:afterAutospacing="1"/>
              <w:rPr>
                <w:rFonts w:asciiTheme="majorHAnsi" w:hAnsiTheme="majorHAnsi"/>
                <w:sz w:val="22"/>
                <w:szCs w:val="22"/>
              </w:rPr>
            </w:pPr>
            <w:r w:rsidRPr="00586D6D">
              <w:rPr>
                <w:rFonts w:asciiTheme="majorHAnsi" w:hAnsiTheme="majorHAnsi"/>
                <w:sz w:val="22"/>
                <w:szCs w:val="22"/>
              </w:rPr>
              <w:t>Greater than $129,000</w:t>
            </w:r>
          </w:p>
        </w:tc>
        <w:tc>
          <w:tcPr>
            <w:tcW w:w="1920" w:type="dxa"/>
            <w:tcBorders>
              <w:top w:val="outset" w:sz="6" w:space="0" w:color="auto"/>
              <w:left w:val="outset" w:sz="6" w:space="0" w:color="auto"/>
              <w:bottom w:val="outset" w:sz="6" w:space="0" w:color="auto"/>
              <w:right w:val="outset" w:sz="6" w:space="0" w:color="auto"/>
            </w:tcBorders>
            <w:vAlign w:val="bottom"/>
            <w:hideMark/>
          </w:tcPr>
          <w:p w14:paraId="6594A024" w14:textId="77777777" w:rsidR="00EF3D10" w:rsidRPr="00586D6D" w:rsidRDefault="00EF3D10" w:rsidP="001D3AE5">
            <w:pPr>
              <w:spacing w:before="100" w:beforeAutospacing="1" w:after="100" w:afterAutospacing="1"/>
              <w:jc w:val="right"/>
              <w:rPr>
                <w:rFonts w:asciiTheme="majorHAnsi" w:hAnsiTheme="majorHAnsi"/>
                <w:color w:val="FF0000"/>
                <w:sz w:val="22"/>
                <w:szCs w:val="22"/>
              </w:rPr>
            </w:pPr>
            <w:r w:rsidRPr="00586D6D">
              <w:rPr>
                <w:rFonts w:asciiTheme="majorHAnsi" w:hAnsiTheme="majorHAnsi"/>
                <w:color w:val="FF0000"/>
                <w:sz w:val="22"/>
                <w:szCs w:val="22"/>
              </w:rPr>
              <w:t>268.00</w:t>
            </w:r>
          </w:p>
        </w:tc>
        <w:tc>
          <w:tcPr>
            <w:tcW w:w="1720" w:type="dxa"/>
            <w:tcBorders>
              <w:top w:val="outset" w:sz="6" w:space="0" w:color="auto"/>
              <w:left w:val="outset" w:sz="6" w:space="0" w:color="auto"/>
              <w:bottom w:val="outset" w:sz="6" w:space="0" w:color="auto"/>
              <w:right w:val="outset" w:sz="6" w:space="0" w:color="auto"/>
            </w:tcBorders>
            <w:vAlign w:val="bottom"/>
            <w:hideMark/>
          </w:tcPr>
          <w:p w14:paraId="11D07626" w14:textId="77777777" w:rsidR="00EF3D10" w:rsidRPr="00586D6D" w:rsidRDefault="00EF3D10" w:rsidP="001D3AE5">
            <w:pPr>
              <w:spacing w:before="100" w:beforeAutospacing="1" w:after="100" w:afterAutospacing="1"/>
              <w:jc w:val="right"/>
              <w:rPr>
                <w:rFonts w:asciiTheme="majorHAnsi" w:hAnsiTheme="majorHAnsi"/>
                <w:color w:val="0070C0"/>
                <w:sz w:val="22"/>
                <w:szCs w:val="22"/>
              </w:rPr>
            </w:pPr>
            <w:r>
              <w:rPr>
                <w:rFonts w:asciiTheme="majorHAnsi" w:hAnsiTheme="majorHAnsi"/>
                <w:color w:val="0070C0"/>
                <w:sz w:val="22"/>
                <w:szCs w:val="22"/>
              </w:rPr>
              <w:t>428.60</w:t>
            </w:r>
          </w:p>
        </w:tc>
      </w:tr>
    </w:tbl>
    <w:p w14:paraId="59214107" w14:textId="77777777" w:rsidR="00430A0B" w:rsidRDefault="00430A0B">
      <w:pPr>
        <w:rPr>
          <w:sz w:val="20"/>
          <w:szCs w:val="20"/>
          <w:lang w:eastAsia="ja-JP"/>
        </w:rPr>
      </w:pPr>
    </w:p>
    <w:sectPr w:rsidR="00430A0B" w:rsidSect="00932AA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6529" w14:textId="77777777" w:rsidR="005D3843" w:rsidRDefault="005D3843" w:rsidP="00586D6D">
      <w:r>
        <w:separator/>
      </w:r>
    </w:p>
  </w:endnote>
  <w:endnote w:type="continuationSeparator" w:id="0">
    <w:p w14:paraId="206A369F" w14:textId="77777777" w:rsidR="005D3843" w:rsidRDefault="005D3843" w:rsidP="0058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022DC" w14:textId="77777777" w:rsidR="005D3843" w:rsidRDefault="005D3843" w:rsidP="00586D6D">
      <w:r>
        <w:separator/>
      </w:r>
    </w:p>
  </w:footnote>
  <w:footnote w:type="continuationSeparator" w:id="0">
    <w:p w14:paraId="0A9ED813" w14:textId="77777777" w:rsidR="005D3843" w:rsidRDefault="005D3843" w:rsidP="0058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4"/>
    <w:rsid w:val="000D01AD"/>
    <w:rsid w:val="000D4D3E"/>
    <w:rsid w:val="00287FC8"/>
    <w:rsid w:val="002E4AE4"/>
    <w:rsid w:val="003B1606"/>
    <w:rsid w:val="00400FA4"/>
    <w:rsid w:val="00430A0B"/>
    <w:rsid w:val="00586D6D"/>
    <w:rsid w:val="0059498A"/>
    <w:rsid w:val="005D3843"/>
    <w:rsid w:val="005E4F69"/>
    <w:rsid w:val="00693374"/>
    <w:rsid w:val="006E13C3"/>
    <w:rsid w:val="006E439C"/>
    <w:rsid w:val="00783E15"/>
    <w:rsid w:val="007A09A5"/>
    <w:rsid w:val="008C6B5F"/>
    <w:rsid w:val="00A41C05"/>
    <w:rsid w:val="00A6700A"/>
    <w:rsid w:val="00B23D72"/>
    <w:rsid w:val="00BE6447"/>
    <w:rsid w:val="00BF4918"/>
    <w:rsid w:val="00C378D8"/>
    <w:rsid w:val="00C425D3"/>
    <w:rsid w:val="00C95396"/>
    <w:rsid w:val="00D24097"/>
    <w:rsid w:val="00DF7420"/>
    <w:rsid w:val="00ED530E"/>
    <w:rsid w:val="00EF3D10"/>
    <w:rsid w:val="00F651C4"/>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78D3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933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374"/>
    <w:rPr>
      <w:rFonts w:ascii="Times" w:hAnsi="Times"/>
      <w:b/>
      <w:bCs/>
      <w:kern w:val="36"/>
      <w:sz w:val="48"/>
      <w:szCs w:val="48"/>
      <w:lang w:eastAsia="en-US"/>
    </w:rPr>
  </w:style>
  <w:style w:type="paragraph" w:styleId="NormalWeb">
    <w:name w:val="Normal (Web)"/>
    <w:basedOn w:val="Normal"/>
    <w:uiPriority w:val="99"/>
    <w:unhideWhenUsed/>
    <w:rsid w:val="0069337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3374"/>
  </w:style>
  <w:style w:type="character" w:styleId="Hyperlink">
    <w:name w:val="Hyperlink"/>
    <w:basedOn w:val="DefaultParagraphFont"/>
    <w:uiPriority w:val="99"/>
    <w:semiHidden/>
    <w:unhideWhenUsed/>
    <w:rsid w:val="00693374"/>
    <w:rPr>
      <w:color w:val="0000FF"/>
      <w:u w:val="single"/>
    </w:rPr>
  </w:style>
  <w:style w:type="character" w:styleId="Strong">
    <w:name w:val="Strong"/>
    <w:basedOn w:val="DefaultParagraphFont"/>
    <w:uiPriority w:val="22"/>
    <w:qFormat/>
    <w:rsid w:val="00693374"/>
    <w:rPr>
      <w:b/>
      <w:bCs/>
    </w:rPr>
  </w:style>
  <w:style w:type="paragraph" w:styleId="BalloonText">
    <w:name w:val="Balloon Text"/>
    <w:basedOn w:val="Normal"/>
    <w:link w:val="BalloonTextChar"/>
    <w:uiPriority w:val="99"/>
    <w:semiHidden/>
    <w:unhideWhenUsed/>
    <w:rsid w:val="00693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74"/>
    <w:rPr>
      <w:rFonts w:ascii="Lucida Grande" w:hAnsi="Lucida Grande" w:cs="Lucida Grande"/>
      <w:sz w:val="18"/>
      <w:szCs w:val="18"/>
      <w:lang w:eastAsia="en-US"/>
    </w:rPr>
  </w:style>
  <w:style w:type="paragraph" w:styleId="Header">
    <w:name w:val="header"/>
    <w:basedOn w:val="Normal"/>
    <w:link w:val="HeaderChar"/>
    <w:uiPriority w:val="99"/>
    <w:unhideWhenUsed/>
    <w:rsid w:val="00586D6D"/>
    <w:pPr>
      <w:tabs>
        <w:tab w:val="center" w:pos="4680"/>
        <w:tab w:val="right" w:pos="9360"/>
      </w:tabs>
    </w:pPr>
  </w:style>
  <w:style w:type="character" w:customStyle="1" w:styleId="HeaderChar">
    <w:name w:val="Header Char"/>
    <w:basedOn w:val="DefaultParagraphFont"/>
    <w:link w:val="Header"/>
    <w:uiPriority w:val="99"/>
    <w:rsid w:val="00586D6D"/>
    <w:rPr>
      <w:sz w:val="24"/>
      <w:szCs w:val="24"/>
      <w:lang w:eastAsia="en-US"/>
    </w:rPr>
  </w:style>
  <w:style w:type="paragraph" w:styleId="Footer">
    <w:name w:val="footer"/>
    <w:basedOn w:val="Normal"/>
    <w:link w:val="FooterChar"/>
    <w:uiPriority w:val="99"/>
    <w:unhideWhenUsed/>
    <w:rsid w:val="00586D6D"/>
    <w:pPr>
      <w:tabs>
        <w:tab w:val="center" w:pos="4680"/>
        <w:tab w:val="right" w:pos="9360"/>
      </w:tabs>
    </w:pPr>
  </w:style>
  <w:style w:type="character" w:customStyle="1" w:styleId="FooterChar">
    <w:name w:val="Footer Char"/>
    <w:basedOn w:val="DefaultParagraphFont"/>
    <w:link w:val="Footer"/>
    <w:uiPriority w:val="99"/>
    <w:rsid w:val="00586D6D"/>
    <w:rPr>
      <w:sz w:val="24"/>
      <w:szCs w:val="24"/>
      <w:lang w:eastAsia="en-US"/>
    </w:rPr>
  </w:style>
  <w:style w:type="paragraph" w:customStyle="1" w:styleId="oembed-link-desc">
    <w:name w:val="oembed-link-desc"/>
    <w:basedOn w:val="Normal"/>
    <w:rsid w:val="00EF3D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569">
      <w:bodyDiv w:val="1"/>
      <w:marLeft w:val="0"/>
      <w:marRight w:val="0"/>
      <w:marTop w:val="0"/>
      <w:marBottom w:val="0"/>
      <w:divBdr>
        <w:top w:val="none" w:sz="0" w:space="0" w:color="auto"/>
        <w:left w:val="none" w:sz="0" w:space="0" w:color="auto"/>
        <w:bottom w:val="none" w:sz="0" w:space="0" w:color="auto"/>
        <w:right w:val="none" w:sz="0" w:space="0" w:color="auto"/>
      </w:divBdr>
    </w:div>
    <w:div w:id="127431035">
      <w:bodyDiv w:val="1"/>
      <w:marLeft w:val="0"/>
      <w:marRight w:val="0"/>
      <w:marTop w:val="0"/>
      <w:marBottom w:val="0"/>
      <w:divBdr>
        <w:top w:val="none" w:sz="0" w:space="0" w:color="auto"/>
        <w:left w:val="none" w:sz="0" w:space="0" w:color="auto"/>
        <w:bottom w:val="none" w:sz="0" w:space="0" w:color="auto"/>
        <w:right w:val="none" w:sz="0" w:space="0" w:color="auto"/>
      </w:divBdr>
    </w:div>
    <w:div w:id="456073046">
      <w:bodyDiv w:val="1"/>
      <w:marLeft w:val="0"/>
      <w:marRight w:val="0"/>
      <w:marTop w:val="0"/>
      <w:marBottom w:val="0"/>
      <w:divBdr>
        <w:top w:val="none" w:sz="0" w:space="0" w:color="auto"/>
        <w:left w:val="none" w:sz="0" w:space="0" w:color="auto"/>
        <w:bottom w:val="none" w:sz="0" w:space="0" w:color="auto"/>
        <w:right w:val="none" w:sz="0" w:space="0" w:color="auto"/>
      </w:divBdr>
      <w:divsChild>
        <w:div w:id="1540825461">
          <w:marLeft w:val="0"/>
          <w:marRight w:val="0"/>
          <w:marTop w:val="0"/>
          <w:marBottom w:val="0"/>
          <w:divBdr>
            <w:top w:val="none" w:sz="0" w:space="0" w:color="auto"/>
            <w:left w:val="none" w:sz="0" w:space="0" w:color="auto"/>
            <w:bottom w:val="none" w:sz="0" w:space="0" w:color="auto"/>
            <w:right w:val="none" w:sz="0" w:space="0" w:color="auto"/>
          </w:divBdr>
          <w:divsChild>
            <w:div w:id="305743048">
              <w:marLeft w:val="750"/>
              <w:marRight w:val="0"/>
              <w:marTop w:val="0"/>
              <w:marBottom w:val="225"/>
              <w:divBdr>
                <w:top w:val="none" w:sz="0" w:space="0" w:color="auto"/>
                <w:left w:val="none" w:sz="0" w:space="0" w:color="auto"/>
                <w:bottom w:val="none" w:sz="0" w:space="0" w:color="auto"/>
                <w:right w:val="none" w:sz="0" w:space="0" w:color="auto"/>
              </w:divBdr>
              <w:divsChild>
                <w:div w:id="14406852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7484">
      <w:bodyDiv w:val="1"/>
      <w:marLeft w:val="0"/>
      <w:marRight w:val="0"/>
      <w:marTop w:val="0"/>
      <w:marBottom w:val="0"/>
      <w:divBdr>
        <w:top w:val="none" w:sz="0" w:space="0" w:color="auto"/>
        <w:left w:val="none" w:sz="0" w:space="0" w:color="auto"/>
        <w:bottom w:val="none" w:sz="0" w:space="0" w:color="auto"/>
        <w:right w:val="none" w:sz="0" w:space="0" w:color="auto"/>
      </w:divBdr>
    </w:div>
    <w:div w:id="474373542">
      <w:bodyDiv w:val="1"/>
      <w:marLeft w:val="0"/>
      <w:marRight w:val="0"/>
      <w:marTop w:val="0"/>
      <w:marBottom w:val="0"/>
      <w:divBdr>
        <w:top w:val="none" w:sz="0" w:space="0" w:color="auto"/>
        <w:left w:val="none" w:sz="0" w:space="0" w:color="auto"/>
        <w:bottom w:val="none" w:sz="0" w:space="0" w:color="auto"/>
        <w:right w:val="none" w:sz="0" w:space="0" w:color="auto"/>
      </w:divBdr>
      <w:divsChild>
        <w:div w:id="860751129">
          <w:marLeft w:val="0"/>
          <w:marRight w:val="150"/>
          <w:marTop w:val="0"/>
          <w:marBottom w:val="150"/>
          <w:divBdr>
            <w:top w:val="none" w:sz="0" w:space="0" w:color="auto"/>
            <w:left w:val="none" w:sz="0" w:space="0" w:color="auto"/>
            <w:bottom w:val="none" w:sz="0" w:space="0" w:color="auto"/>
            <w:right w:val="none" w:sz="0" w:space="0" w:color="auto"/>
          </w:divBdr>
          <w:divsChild>
            <w:div w:id="1846745678">
              <w:marLeft w:val="0"/>
              <w:marRight w:val="240"/>
              <w:marTop w:val="120"/>
              <w:marBottom w:val="0"/>
              <w:divBdr>
                <w:top w:val="none" w:sz="0" w:space="0" w:color="auto"/>
                <w:left w:val="none" w:sz="0" w:space="0" w:color="auto"/>
                <w:bottom w:val="none" w:sz="0" w:space="0" w:color="auto"/>
                <w:right w:val="none" w:sz="0" w:space="0" w:color="auto"/>
              </w:divBdr>
              <w:divsChild>
                <w:div w:id="12547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5671">
          <w:marLeft w:val="-180"/>
          <w:marRight w:val="0"/>
          <w:marTop w:val="100"/>
          <w:marBottom w:val="100"/>
          <w:divBdr>
            <w:top w:val="none" w:sz="0" w:space="0" w:color="auto"/>
            <w:left w:val="none" w:sz="0" w:space="0" w:color="auto"/>
            <w:bottom w:val="none" w:sz="0" w:space="0" w:color="auto"/>
            <w:right w:val="none" w:sz="0" w:space="0" w:color="auto"/>
          </w:divBdr>
          <w:divsChild>
            <w:div w:id="1373338368">
              <w:marLeft w:val="0"/>
              <w:marRight w:val="0"/>
              <w:marTop w:val="100"/>
              <w:marBottom w:val="100"/>
              <w:divBdr>
                <w:top w:val="none" w:sz="0" w:space="0" w:color="auto"/>
                <w:left w:val="none" w:sz="0" w:space="0" w:color="auto"/>
                <w:bottom w:val="none" w:sz="0" w:space="0" w:color="auto"/>
                <w:right w:val="none" w:sz="0" w:space="0" w:color="auto"/>
              </w:divBdr>
              <w:divsChild>
                <w:div w:id="1006903067">
                  <w:marLeft w:val="0"/>
                  <w:marRight w:val="0"/>
                  <w:marTop w:val="0"/>
                  <w:marBottom w:val="0"/>
                  <w:divBdr>
                    <w:top w:val="none" w:sz="0" w:space="0" w:color="auto"/>
                    <w:left w:val="none" w:sz="0" w:space="0" w:color="auto"/>
                    <w:bottom w:val="none" w:sz="0" w:space="0" w:color="auto"/>
                    <w:right w:val="none" w:sz="0" w:space="0" w:color="auto"/>
                  </w:divBdr>
                  <w:divsChild>
                    <w:div w:id="715004647">
                      <w:marLeft w:val="0"/>
                      <w:marRight w:val="0"/>
                      <w:marTop w:val="0"/>
                      <w:marBottom w:val="0"/>
                      <w:divBdr>
                        <w:top w:val="none" w:sz="0" w:space="0" w:color="auto"/>
                        <w:left w:val="none" w:sz="0" w:space="0" w:color="auto"/>
                        <w:bottom w:val="none" w:sz="0" w:space="0" w:color="auto"/>
                        <w:right w:val="none" w:sz="0" w:space="0" w:color="auto"/>
                      </w:divBdr>
                      <w:divsChild>
                        <w:div w:id="482503992">
                          <w:marLeft w:val="300"/>
                          <w:marRight w:val="0"/>
                          <w:marTop w:val="225"/>
                          <w:marBottom w:val="0"/>
                          <w:divBdr>
                            <w:top w:val="none" w:sz="0" w:space="0" w:color="auto"/>
                            <w:left w:val="none" w:sz="0" w:space="0" w:color="auto"/>
                            <w:bottom w:val="none" w:sz="0" w:space="0" w:color="auto"/>
                            <w:right w:val="none" w:sz="0" w:space="0" w:color="auto"/>
                          </w:divBdr>
                        </w:div>
                        <w:div w:id="820923935">
                          <w:marLeft w:val="0"/>
                          <w:marRight w:val="0"/>
                          <w:marTop w:val="0"/>
                          <w:marBottom w:val="0"/>
                          <w:divBdr>
                            <w:top w:val="none" w:sz="0" w:space="0" w:color="auto"/>
                            <w:left w:val="none" w:sz="0" w:space="0" w:color="auto"/>
                            <w:bottom w:val="none" w:sz="0" w:space="0" w:color="auto"/>
                            <w:right w:val="none" w:sz="0" w:space="0" w:color="auto"/>
                          </w:divBdr>
                        </w:div>
                      </w:divsChild>
                    </w:div>
                    <w:div w:id="1946231368">
                      <w:marLeft w:val="0"/>
                      <w:marRight w:val="0"/>
                      <w:marTop w:val="0"/>
                      <w:marBottom w:val="0"/>
                      <w:divBdr>
                        <w:top w:val="none" w:sz="0" w:space="0" w:color="auto"/>
                        <w:left w:val="none" w:sz="0" w:space="0" w:color="auto"/>
                        <w:bottom w:val="none" w:sz="0" w:space="0" w:color="auto"/>
                        <w:right w:val="none" w:sz="0" w:space="0" w:color="auto"/>
                      </w:divBdr>
                      <w:divsChild>
                        <w:div w:id="65109551">
                          <w:marLeft w:val="0"/>
                          <w:marRight w:val="0"/>
                          <w:marTop w:val="0"/>
                          <w:marBottom w:val="0"/>
                          <w:divBdr>
                            <w:top w:val="none" w:sz="0" w:space="0" w:color="auto"/>
                            <w:left w:val="none" w:sz="0" w:space="0" w:color="auto"/>
                            <w:bottom w:val="none" w:sz="0" w:space="0" w:color="auto"/>
                            <w:right w:val="single" w:sz="6" w:space="23" w:color="D5D5D5"/>
                          </w:divBdr>
                          <w:divsChild>
                            <w:div w:id="253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0131">
      <w:bodyDiv w:val="1"/>
      <w:marLeft w:val="0"/>
      <w:marRight w:val="0"/>
      <w:marTop w:val="0"/>
      <w:marBottom w:val="0"/>
      <w:divBdr>
        <w:top w:val="none" w:sz="0" w:space="0" w:color="auto"/>
        <w:left w:val="none" w:sz="0" w:space="0" w:color="auto"/>
        <w:bottom w:val="none" w:sz="0" w:space="0" w:color="auto"/>
        <w:right w:val="none" w:sz="0" w:space="0" w:color="auto"/>
      </w:divBdr>
    </w:div>
    <w:div w:id="818617107">
      <w:bodyDiv w:val="1"/>
      <w:marLeft w:val="0"/>
      <w:marRight w:val="0"/>
      <w:marTop w:val="0"/>
      <w:marBottom w:val="0"/>
      <w:divBdr>
        <w:top w:val="none" w:sz="0" w:space="0" w:color="auto"/>
        <w:left w:val="none" w:sz="0" w:space="0" w:color="auto"/>
        <w:bottom w:val="none" w:sz="0" w:space="0" w:color="auto"/>
        <w:right w:val="none" w:sz="0" w:space="0" w:color="auto"/>
      </w:divBdr>
    </w:div>
    <w:div w:id="943616921">
      <w:bodyDiv w:val="1"/>
      <w:marLeft w:val="0"/>
      <w:marRight w:val="0"/>
      <w:marTop w:val="0"/>
      <w:marBottom w:val="0"/>
      <w:divBdr>
        <w:top w:val="none" w:sz="0" w:space="0" w:color="auto"/>
        <w:left w:val="none" w:sz="0" w:space="0" w:color="auto"/>
        <w:bottom w:val="none" w:sz="0" w:space="0" w:color="auto"/>
        <w:right w:val="none" w:sz="0" w:space="0" w:color="auto"/>
      </w:divBdr>
      <w:divsChild>
        <w:div w:id="927007135">
          <w:marLeft w:val="0"/>
          <w:marRight w:val="0"/>
          <w:marTop w:val="0"/>
          <w:marBottom w:val="0"/>
          <w:divBdr>
            <w:top w:val="none" w:sz="0" w:space="0" w:color="auto"/>
            <w:left w:val="none" w:sz="0" w:space="0" w:color="auto"/>
            <w:bottom w:val="none" w:sz="0" w:space="0" w:color="auto"/>
            <w:right w:val="none" w:sz="0" w:space="0" w:color="auto"/>
          </w:divBdr>
          <w:divsChild>
            <w:div w:id="296499639">
              <w:marLeft w:val="750"/>
              <w:marRight w:val="0"/>
              <w:marTop w:val="0"/>
              <w:marBottom w:val="225"/>
              <w:divBdr>
                <w:top w:val="none" w:sz="0" w:space="0" w:color="auto"/>
                <w:left w:val="none" w:sz="0" w:space="0" w:color="auto"/>
                <w:bottom w:val="none" w:sz="0" w:space="0" w:color="auto"/>
                <w:right w:val="none" w:sz="0" w:space="0" w:color="auto"/>
              </w:divBdr>
              <w:divsChild>
                <w:div w:id="15336911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70369">
      <w:bodyDiv w:val="1"/>
      <w:marLeft w:val="0"/>
      <w:marRight w:val="0"/>
      <w:marTop w:val="0"/>
      <w:marBottom w:val="0"/>
      <w:divBdr>
        <w:top w:val="none" w:sz="0" w:space="0" w:color="auto"/>
        <w:left w:val="none" w:sz="0" w:space="0" w:color="auto"/>
        <w:bottom w:val="none" w:sz="0" w:space="0" w:color="auto"/>
        <w:right w:val="none" w:sz="0" w:space="0" w:color="auto"/>
      </w:divBdr>
      <w:divsChild>
        <w:div w:id="1125462485">
          <w:marLeft w:val="0"/>
          <w:marRight w:val="0"/>
          <w:marTop w:val="0"/>
          <w:marBottom w:val="0"/>
          <w:divBdr>
            <w:top w:val="none" w:sz="0" w:space="0" w:color="auto"/>
            <w:left w:val="none" w:sz="0" w:space="0" w:color="auto"/>
            <w:bottom w:val="none" w:sz="0" w:space="0" w:color="auto"/>
            <w:right w:val="none" w:sz="0" w:space="0" w:color="auto"/>
          </w:divBdr>
          <w:divsChild>
            <w:div w:id="148330978">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sa.gov/news/press/factsheets/colafacts2017.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3E53FA-33CC-7B4B-8F63-64563AC0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701</Words>
  <Characters>3997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  </dc:creator>
  <cp:keywords/>
  <dc:description/>
  <cp:lastModifiedBy>Christine Vo</cp:lastModifiedBy>
  <cp:revision>3</cp:revision>
  <cp:lastPrinted>2016-02-06T01:13:00Z</cp:lastPrinted>
  <dcterms:created xsi:type="dcterms:W3CDTF">2017-02-01T02:14:00Z</dcterms:created>
  <dcterms:modified xsi:type="dcterms:W3CDTF">2017-02-01T07:55:00Z</dcterms:modified>
</cp:coreProperties>
</file>